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B97E34" w:rsidTr="006816EC">
        <w:trPr>
          <w:jc w:val="center"/>
        </w:trPr>
        <w:tc>
          <w:tcPr>
            <w:tcW w:w="743" w:type="dxa"/>
            <w:hideMark/>
          </w:tcPr>
          <w:p w:rsidR="006816EC" w:rsidRPr="00B97E34" w:rsidRDefault="006816EC">
            <w:pPr>
              <w:jc w:val="both"/>
              <w:rPr>
                <w:rFonts w:ascii="FrankRuehl" w:hAnsi="FrankRuehl" w:cs="FrankRuehl"/>
                <w:b/>
                <w:bCs/>
                <w:sz w:val="28"/>
                <w:szCs w:val="28"/>
              </w:rPr>
            </w:pPr>
            <w:bookmarkStart w:id="0" w:name="_GoBack"/>
            <w:bookmarkEnd w:id="0"/>
            <w:r w:rsidRPr="00B97E34">
              <w:rPr>
                <w:rFonts w:ascii="FrankRuehl" w:hAnsi="FrankRuehl" w:cs="FrankRuehl"/>
                <w:b/>
                <w:bCs/>
                <w:sz w:val="28"/>
                <w:szCs w:val="28"/>
                <w:rtl/>
              </w:rPr>
              <w:t xml:space="preserve">בפני </w:t>
            </w:r>
          </w:p>
        </w:tc>
        <w:tc>
          <w:tcPr>
            <w:tcW w:w="8077" w:type="dxa"/>
            <w:gridSpan w:val="2"/>
            <w:hideMark/>
          </w:tcPr>
          <w:p w:rsidR="006816EC" w:rsidRPr="00B97E34" w:rsidRDefault="00B32C61" w:rsidP="00B97E34">
            <w:pPr>
              <w:rPr>
                <w:rFonts w:ascii="FrankRuehl" w:hAnsi="FrankRuehl" w:cs="FrankRuehl"/>
                <w:b/>
                <w:bCs/>
                <w:sz w:val="28"/>
                <w:szCs w:val="28"/>
              </w:rPr>
            </w:pPr>
            <w:r w:rsidRPr="00B97E34">
              <w:rPr>
                <w:rFonts w:ascii="FrankRuehl" w:hAnsi="FrankRuehl" w:cs="FrankRuehl"/>
                <w:b/>
                <w:bCs/>
                <w:sz w:val="28"/>
                <w:szCs w:val="28"/>
                <w:rtl/>
              </w:rPr>
              <w:t>כבוד</w:t>
            </w:r>
            <w:r w:rsidR="006816EC" w:rsidRPr="00B97E34">
              <w:rPr>
                <w:rFonts w:ascii="FrankRuehl" w:hAnsi="FrankRuehl" w:cs="FrankRuehl"/>
                <w:b/>
                <w:bCs/>
                <w:sz w:val="28"/>
                <w:szCs w:val="28"/>
                <w:rtl/>
              </w:rPr>
              <w:t xml:space="preserve"> ה</w:t>
            </w:r>
            <w:r w:rsidRPr="00B97E34">
              <w:rPr>
                <w:rFonts w:ascii="FrankRuehl" w:hAnsi="FrankRuehl" w:cs="FrankRuehl"/>
                <w:b/>
                <w:bCs/>
                <w:sz w:val="28"/>
                <w:szCs w:val="28"/>
                <w:rtl/>
              </w:rPr>
              <w:t>שופטת</w:t>
            </w:r>
            <w:r w:rsidR="006816EC" w:rsidRPr="00B97E34">
              <w:rPr>
                <w:rFonts w:ascii="FrankRuehl" w:hAnsi="FrankRuehl" w:cs="FrankRuehl"/>
                <w:b/>
                <w:bCs/>
                <w:sz w:val="28"/>
                <w:szCs w:val="28"/>
                <w:rtl/>
              </w:rPr>
              <w:t xml:space="preserve">  </w:t>
            </w:r>
            <w:r w:rsidRPr="00B97E34">
              <w:rPr>
                <w:rFonts w:ascii="FrankRuehl" w:hAnsi="FrankRuehl" w:cs="FrankRuehl"/>
                <w:b/>
                <w:bCs/>
                <w:sz w:val="28"/>
                <w:szCs w:val="28"/>
                <w:rtl/>
              </w:rPr>
              <w:t>הילה גורביץ עובדיה</w:t>
            </w:r>
          </w:p>
        </w:tc>
      </w:tr>
      <w:tr w:rsidR="006816EC" w:rsidRPr="00B97E34" w:rsidTr="006816EC">
        <w:trPr>
          <w:jc w:val="center"/>
        </w:trPr>
        <w:tc>
          <w:tcPr>
            <w:tcW w:w="3249" w:type="dxa"/>
            <w:gridSpan w:val="2"/>
          </w:tcPr>
          <w:p w:rsidR="00B97E34" w:rsidRPr="00B97E34" w:rsidRDefault="00B97E34">
            <w:pPr>
              <w:rPr>
                <w:rFonts w:ascii="FrankRuehl" w:hAnsi="FrankRuehl" w:cs="FrankRuehl"/>
                <w:b/>
                <w:bCs/>
                <w:noProof w:val="0"/>
                <w:sz w:val="28"/>
                <w:szCs w:val="28"/>
                <w:rtl/>
              </w:rPr>
            </w:pPr>
          </w:p>
          <w:p w:rsidR="00B97E34" w:rsidRPr="00B97E34" w:rsidRDefault="00B97E34" w:rsidP="00B97E34">
            <w:pPr>
              <w:rPr>
                <w:rFonts w:ascii="FrankRuehl" w:hAnsi="FrankRuehl" w:cs="FrankRuehl"/>
                <w:b/>
                <w:bCs/>
                <w:noProof w:val="0"/>
                <w:sz w:val="28"/>
                <w:szCs w:val="28"/>
                <w:rtl/>
              </w:rPr>
            </w:pPr>
            <w:r w:rsidRPr="00B97E34">
              <w:rPr>
                <w:rFonts w:ascii="FrankRuehl" w:hAnsi="FrankRuehl" w:cs="FrankRuehl"/>
                <w:b/>
                <w:bCs/>
                <w:noProof w:val="0"/>
                <w:sz w:val="28"/>
                <w:szCs w:val="28"/>
                <w:rtl/>
              </w:rPr>
              <w:t>בעניין:</w:t>
            </w:r>
          </w:p>
          <w:p w:rsidR="00B97E34" w:rsidRPr="00B97E34" w:rsidRDefault="00B97E34">
            <w:pPr>
              <w:rPr>
                <w:rFonts w:ascii="FrankRuehl" w:hAnsi="FrankRuehl" w:cs="FrankRuehl"/>
                <w:b/>
                <w:bCs/>
                <w:noProof w:val="0"/>
                <w:sz w:val="28"/>
                <w:szCs w:val="28"/>
                <w:rtl/>
              </w:rPr>
            </w:pPr>
          </w:p>
          <w:p w:rsidR="00335118" w:rsidRPr="00B97E34" w:rsidRDefault="00B97E34">
            <w:pPr>
              <w:rPr>
                <w:rFonts w:ascii="FrankRuehl" w:hAnsi="FrankRuehl" w:cs="FrankRuehl"/>
                <w:b/>
                <w:bCs/>
                <w:noProof w:val="0"/>
                <w:sz w:val="28"/>
                <w:szCs w:val="28"/>
              </w:rPr>
            </w:pPr>
            <w:r w:rsidRPr="00B97E34">
              <w:rPr>
                <w:rFonts w:ascii="FrankRuehl" w:hAnsi="FrankRuehl" w:cs="FrankRuehl"/>
                <w:b/>
                <w:bCs/>
                <w:noProof w:val="0"/>
                <w:sz w:val="28"/>
                <w:szCs w:val="28"/>
                <w:rtl/>
              </w:rPr>
              <w:t>התובעת:</w:t>
            </w:r>
          </w:p>
        </w:tc>
        <w:tc>
          <w:tcPr>
            <w:tcW w:w="5571" w:type="dxa"/>
          </w:tcPr>
          <w:p w:rsidR="00B97E34" w:rsidRPr="00B97E34" w:rsidRDefault="00B97E34" w:rsidP="00B97E34">
            <w:pPr>
              <w:rPr>
                <w:rFonts w:ascii="FrankRuehl" w:hAnsi="FrankRuehl" w:cs="FrankRuehl"/>
                <w:b/>
                <w:bCs/>
                <w:noProof w:val="0"/>
                <w:sz w:val="28"/>
                <w:szCs w:val="28"/>
                <w:rtl/>
              </w:rPr>
            </w:pPr>
          </w:p>
          <w:p w:rsidR="00B97E34" w:rsidRPr="00B97E34" w:rsidRDefault="00ED38C1" w:rsidP="00ED38C1">
            <w:pPr>
              <w:rPr>
                <w:rFonts w:ascii="FrankRuehl" w:hAnsi="FrankRuehl" w:cs="FrankRuehl"/>
                <w:b/>
                <w:bCs/>
                <w:noProof w:val="0"/>
                <w:sz w:val="28"/>
                <w:szCs w:val="28"/>
                <w:rtl/>
              </w:rPr>
            </w:pPr>
            <w:r>
              <w:rPr>
                <w:rFonts w:ascii="FrankRuehl" w:hAnsi="FrankRuehl" w:cs="FrankRuehl" w:hint="cs"/>
                <w:b/>
                <w:bCs/>
                <w:sz w:val="28"/>
                <w:szCs w:val="28"/>
                <w:rtl/>
              </w:rPr>
              <w:t xml:space="preserve">ג.ח. </w:t>
            </w:r>
            <w:r w:rsidR="00B97E34" w:rsidRPr="00B97E34">
              <w:rPr>
                <w:rFonts w:ascii="FrankRuehl" w:hAnsi="FrankRuehl" w:cs="FrankRuehl"/>
                <w:b/>
                <w:bCs/>
                <w:sz w:val="28"/>
                <w:szCs w:val="28"/>
                <w:rtl/>
              </w:rPr>
              <w:t xml:space="preserve">ת"ז </w:t>
            </w:r>
            <w:r>
              <w:rPr>
                <w:rFonts w:ascii="FrankRuehl" w:hAnsi="FrankRuehl" w:cs="FrankRuehl" w:hint="cs"/>
                <w:b/>
                <w:bCs/>
                <w:noProof w:val="0"/>
                <w:sz w:val="28"/>
                <w:szCs w:val="28"/>
                <w:rtl/>
              </w:rPr>
              <w:t>--------</w:t>
            </w:r>
            <w:r w:rsidRPr="00B97E34">
              <w:rPr>
                <w:rFonts w:ascii="FrankRuehl" w:hAnsi="FrankRuehl" w:cs="FrankRuehl"/>
                <w:b/>
                <w:bCs/>
                <w:sz w:val="28"/>
                <w:szCs w:val="28"/>
                <w:rtl/>
              </w:rPr>
              <w:t xml:space="preserve"> </w:t>
            </w:r>
            <w:r w:rsidR="00B97E34" w:rsidRPr="00B97E34">
              <w:rPr>
                <w:rFonts w:ascii="FrankRuehl" w:hAnsi="FrankRuehl" w:cs="FrankRuehl"/>
                <w:b/>
                <w:bCs/>
                <w:sz w:val="28"/>
                <w:szCs w:val="28"/>
                <w:rtl/>
              </w:rPr>
              <w:t xml:space="preserve">(ילידת </w:t>
            </w:r>
            <w:r>
              <w:rPr>
                <w:rFonts w:ascii="FrankRuehl" w:hAnsi="FrankRuehl" w:cs="FrankRuehl"/>
                <w:b/>
                <w:bCs/>
                <w:sz w:val="28"/>
                <w:szCs w:val="28"/>
              </w:rPr>
              <w:t>xx.xx.2012</w:t>
            </w:r>
            <w:r w:rsidR="00B97E34" w:rsidRPr="00B97E34">
              <w:rPr>
                <w:rFonts w:ascii="FrankRuehl" w:hAnsi="FrankRuehl" w:cs="FrankRuehl"/>
                <w:b/>
                <w:bCs/>
                <w:sz w:val="28"/>
                <w:szCs w:val="28"/>
                <w:rtl/>
              </w:rPr>
              <w:t>)</w:t>
            </w:r>
          </w:p>
          <w:p w:rsidR="00B97E34" w:rsidRPr="00B97E34" w:rsidRDefault="00B97E34" w:rsidP="00B97E34">
            <w:pPr>
              <w:rPr>
                <w:rFonts w:ascii="FrankRuehl" w:hAnsi="FrankRuehl" w:cs="FrankRuehl"/>
                <w:b/>
                <w:bCs/>
                <w:noProof w:val="0"/>
                <w:sz w:val="28"/>
                <w:szCs w:val="28"/>
                <w:rtl/>
              </w:rPr>
            </w:pPr>
          </w:p>
          <w:p w:rsidR="006816EC" w:rsidRDefault="00ED38C1" w:rsidP="00ED38C1">
            <w:pPr>
              <w:rPr>
                <w:rFonts w:ascii="FrankRuehl" w:hAnsi="FrankRuehl" w:cs="FrankRuehl"/>
                <w:b/>
                <w:bCs/>
                <w:noProof w:val="0"/>
                <w:sz w:val="28"/>
                <w:szCs w:val="28"/>
                <w:rtl/>
              </w:rPr>
            </w:pPr>
            <w:r>
              <w:rPr>
                <w:rFonts w:ascii="FrankRuehl" w:hAnsi="FrankRuehl" w:cs="FrankRuehl" w:hint="cs"/>
                <w:b/>
                <w:bCs/>
                <w:noProof w:val="0"/>
                <w:sz w:val="28"/>
                <w:szCs w:val="28"/>
                <w:rtl/>
              </w:rPr>
              <w:t>א.ח.</w:t>
            </w:r>
            <w:r w:rsidR="009C358E" w:rsidRPr="00B97E34">
              <w:rPr>
                <w:rFonts w:ascii="FrankRuehl" w:hAnsi="FrankRuehl" w:cs="FrankRuehl"/>
                <w:b/>
                <w:bCs/>
                <w:noProof w:val="0"/>
                <w:sz w:val="28"/>
                <w:szCs w:val="28"/>
                <w:rtl/>
              </w:rPr>
              <w:t xml:space="preserve"> </w:t>
            </w:r>
            <w:r>
              <w:rPr>
                <w:rFonts w:ascii="FrankRuehl" w:hAnsi="FrankRuehl" w:cs="FrankRuehl" w:hint="cs"/>
                <w:b/>
                <w:bCs/>
                <w:noProof w:val="0"/>
                <w:sz w:val="28"/>
                <w:szCs w:val="28"/>
                <w:rtl/>
              </w:rPr>
              <w:t xml:space="preserve">2 </w:t>
            </w:r>
            <w:r w:rsidR="00E44DDF" w:rsidRPr="00B97E34">
              <w:rPr>
                <w:rFonts w:ascii="FrankRuehl" w:hAnsi="FrankRuehl" w:cs="FrankRuehl"/>
                <w:b/>
                <w:bCs/>
                <w:noProof w:val="0"/>
                <w:sz w:val="28"/>
                <w:szCs w:val="28"/>
                <w:rtl/>
              </w:rPr>
              <w:t>ת"ז</w:t>
            </w:r>
            <w:r w:rsidR="009C358E" w:rsidRPr="00B97E34">
              <w:rPr>
                <w:rFonts w:ascii="FrankRuehl" w:hAnsi="FrankRuehl" w:cs="FrankRuehl"/>
                <w:b/>
                <w:bCs/>
                <w:noProof w:val="0"/>
                <w:sz w:val="28"/>
                <w:szCs w:val="28"/>
                <w:rtl/>
              </w:rPr>
              <w:t xml:space="preserve"> </w:t>
            </w:r>
            <w:r>
              <w:rPr>
                <w:rFonts w:ascii="FrankRuehl" w:hAnsi="FrankRuehl" w:cs="FrankRuehl" w:hint="cs"/>
                <w:b/>
                <w:bCs/>
                <w:noProof w:val="0"/>
                <w:sz w:val="28"/>
                <w:szCs w:val="28"/>
                <w:rtl/>
              </w:rPr>
              <w:t>--------</w:t>
            </w:r>
          </w:p>
          <w:p w:rsidR="00023B59" w:rsidRPr="00B97E34" w:rsidRDefault="00023B59" w:rsidP="00B97E34">
            <w:pPr>
              <w:rPr>
                <w:rFonts w:ascii="FrankRuehl" w:hAnsi="FrankRuehl" w:cs="FrankRuehl"/>
                <w:b/>
                <w:bCs/>
                <w:noProof w:val="0"/>
                <w:sz w:val="28"/>
                <w:szCs w:val="28"/>
              </w:rPr>
            </w:pPr>
            <w:r>
              <w:rPr>
                <w:rFonts w:ascii="FrankRuehl" w:hAnsi="FrankRuehl" w:cs="FrankRuehl" w:hint="cs"/>
                <w:b/>
                <w:bCs/>
                <w:noProof w:val="0"/>
                <w:sz w:val="28"/>
                <w:szCs w:val="28"/>
                <w:rtl/>
              </w:rPr>
              <w:t>ע"י ב"כ עו"ד ג'קלין סוויד כרכבי</w:t>
            </w:r>
          </w:p>
        </w:tc>
      </w:tr>
      <w:tr w:rsidR="006816EC" w:rsidRPr="00B97E34" w:rsidTr="006816EC">
        <w:trPr>
          <w:jc w:val="center"/>
        </w:trPr>
        <w:tc>
          <w:tcPr>
            <w:tcW w:w="8820" w:type="dxa"/>
            <w:gridSpan w:val="3"/>
          </w:tcPr>
          <w:p w:rsidR="006816EC" w:rsidRPr="00B97E34" w:rsidRDefault="006816EC">
            <w:pPr>
              <w:rPr>
                <w:rFonts w:ascii="FrankRuehl" w:hAnsi="FrankRuehl" w:cs="FrankRuehl"/>
                <w:b/>
                <w:bCs/>
                <w:noProof w:val="0"/>
                <w:sz w:val="28"/>
                <w:szCs w:val="28"/>
                <w:rtl/>
              </w:rPr>
            </w:pPr>
          </w:p>
          <w:p w:rsidR="006816EC" w:rsidRPr="00B97E34" w:rsidRDefault="006816EC">
            <w:pPr>
              <w:jc w:val="center"/>
              <w:rPr>
                <w:rFonts w:ascii="FrankRuehl" w:hAnsi="FrankRuehl" w:cs="FrankRuehl"/>
                <w:b/>
                <w:bCs/>
                <w:noProof w:val="0"/>
                <w:sz w:val="28"/>
                <w:szCs w:val="28"/>
                <w:rtl/>
              </w:rPr>
            </w:pPr>
            <w:r w:rsidRPr="00B97E34">
              <w:rPr>
                <w:rFonts w:ascii="FrankRuehl" w:hAnsi="FrankRuehl" w:cs="FrankRuehl"/>
                <w:b/>
                <w:bCs/>
                <w:noProof w:val="0"/>
                <w:sz w:val="28"/>
                <w:szCs w:val="28"/>
                <w:rtl/>
              </w:rPr>
              <w:t>נגד</w:t>
            </w:r>
          </w:p>
          <w:p w:rsidR="006816EC" w:rsidRPr="00B97E34" w:rsidRDefault="006816EC">
            <w:pPr>
              <w:rPr>
                <w:rFonts w:ascii="FrankRuehl" w:hAnsi="FrankRuehl" w:cs="FrankRuehl"/>
                <w:b/>
                <w:bCs/>
                <w:noProof w:val="0"/>
                <w:sz w:val="28"/>
                <w:szCs w:val="28"/>
              </w:rPr>
            </w:pPr>
          </w:p>
        </w:tc>
      </w:tr>
      <w:tr w:rsidR="006816EC" w:rsidRPr="00B97E34" w:rsidTr="006816EC">
        <w:trPr>
          <w:jc w:val="center"/>
        </w:trPr>
        <w:tc>
          <w:tcPr>
            <w:tcW w:w="3249" w:type="dxa"/>
            <w:gridSpan w:val="2"/>
          </w:tcPr>
          <w:p w:rsidR="00B97E34" w:rsidRPr="00B97E34" w:rsidRDefault="00B97E34" w:rsidP="00B97E34">
            <w:pPr>
              <w:rPr>
                <w:rFonts w:ascii="FrankRuehl" w:hAnsi="FrankRuehl" w:cs="FrankRuehl"/>
                <w:b/>
                <w:bCs/>
                <w:noProof w:val="0"/>
                <w:sz w:val="28"/>
                <w:szCs w:val="28"/>
                <w:rtl/>
              </w:rPr>
            </w:pPr>
            <w:r w:rsidRPr="00B97E34">
              <w:rPr>
                <w:rFonts w:ascii="FrankRuehl" w:hAnsi="FrankRuehl" w:cs="FrankRuehl"/>
                <w:b/>
                <w:bCs/>
                <w:noProof w:val="0"/>
                <w:sz w:val="28"/>
                <w:szCs w:val="28"/>
                <w:rtl/>
              </w:rPr>
              <w:t>הנתבע:</w:t>
            </w:r>
          </w:p>
        </w:tc>
        <w:tc>
          <w:tcPr>
            <w:tcW w:w="5571" w:type="dxa"/>
          </w:tcPr>
          <w:p w:rsidR="00B97E34" w:rsidRDefault="00ED38C1" w:rsidP="00B97E34">
            <w:pPr>
              <w:rPr>
                <w:rFonts w:ascii="FrankRuehl" w:hAnsi="FrankRuehl" w:cs="FrankRuehl"/>
                <w:sz w:val="28"/>
                <w:szCs w:val="28"/>
                <w:rtl/>
              </w:rPr>
            </w:pPr>
            <w:r>
              <w:rPr>
                <w:rFonts w:ascii="FrankRuehl" w:hAnsi="FrankRuehl" w:cs="FrankRuehl" w:hint="cs"/>
                <w:b/>
                <w:bCs/>
                <w:noProof w:val="0"/>
                <w:sz w:val="28"/>
                <w:szCs w:val="28"/>
                <w:rtl/>
              </w:rPr>
              <w:t>א.ח. 2</w:t>
            </w:r>
            <w:r w:rsidR="009C358E" w:rsidRPr="00B97E34">
              <w:rPr>
                <w:rFonts w:ascii="FrankRuehl" w:hAnsi="FrankRuehl" w:cs="FrankRuehl"/>
                <w:b/>
                <w:bCs/>
                <w:noProof w:val="0"/>
                <w:sz w:val="28"/>
                <w:szCs w:val="28"/>
                <w:rtl/>
              </w:rPr>
              <w:t xml:space="preserve"> </w:t>
            </w:r>
            <w:r w:rsidR="00E44DDF" w:rsidRPr="00B97E34">
              <w:rPr>
                <w:rFonts w:ascii="FrankRuehl" w:hAnsi="FrankRuehl" w:cs="FrankRuehl"/>
                <w:b/>
                <w:bCs/>
                <w:noProof w:val="0"/>
                <w:sz w:val="28"/>
                <w:szCs w:val="28"/>
                <w:rtl/>
              </w:rPr>
              <w:t>ת"ז</w:t>
            </w:r>
            <w:r w:rsidR="009C358E" w:rsidRPr="00B97E34">
              <w:rPr>
                <w:rFonts w:ascii="FrankRuehl" w:hAnsi="FrankRuehl" w:cs="FrankRuehl"/>
                <w:b/>
                <w:bCs/>
                <w:noProof w:val="0"/>
                <w:sz w:val="28"/>
                <w:szCs w:val="28"/>
                <w:rtl/>
              </w:rPr>
              <w:t xml:space="preserve"> </w:t>
            </w:r>
            <w:r>
              <w:rPr>
                <w:rFonts w:ascii="FrankRuehl" w:hAnsi="FrankRuehl" w:cs="FrankRuehl" w:hint="cs"/>
                <w:b/>
                <w:bCs/>
                <w:noProof w:val="0"/>
                <w:sz w:val="28"/>
                <w:szCs w:val="28"/>
                <w:rtl/>
              </w:rPr>
              <w:t>--------</w:t>
            </w:r>
          </w:p>
          <w:p w:rsidR="00023B59" w:rsidRPr="00023B59" w:rsidRDefault="00023B59" w:rsidP="00B97E34">
            <w:pPr>
              <w:rPr>
                <w:rFonts w:ascii="FrankRuehl" w:hAnsi="FrankRuehl" w:cs="FrankRuehl"/>
                <w:b/>
                <w:bCs/>
                <w:sz w:val="28"/>
                <w:szCs w:val="28"/>
              </w:rPr>
            </w:pPr>
            <w:r w:rsidRPr="00023B59">
              <w:rPr>
                <w:rFonts w:ascii="FrankRuehl" w:hAnsi="FrankRuehl" w:cs="FrankRuehl" w:hint="cs"/>
                <w:b/>
                <w:bCs/>
                <w:sz w:val="28"/>
                <w:szCs w:val="28"/>
                <w:rtl/>
              </w:rPr>
              <w:t>ע"י ב"כ עוה"ד פרח חלב</w:t>
            </w:r>
          </w:p>
        </w:tc>
      </w:tr>
      <w:tr w:rsidR="00694556" w:rsidRPr="00B97E34">
        <w:trPr>
          <w:jc w:val="center"/>
        </w:trPr>
        <w:tc>
          <w:tcPr>
            <w:tcW w:w="8820" w:type="dxa"/>
            <w:gridSpan w:val="3"/>
          </w:tcPr>
          <w:p w:rsidR="00B97E34" w:rsidRPr="00B97E34" w:rsidRDefault="00B97E34">
            <w:pPr>
              <w:bidi w:val="0"/>
              <w:jc w:val="center"/>
              <w:rPr>
                <w:rFonts w:ascii="FrankRuehl" w:hAnsi="FrankRuehl" w:cs="FrankRuehl"/>
                <w:b/>
                <w:bCs/>
                <w:noProof w:val="0"/>
                <w:sz w:val="28"/>
                <w:szCs w:val="28"/>
                <w:u w:val="single"/>
                <w:rtl/>
              </w:rPr>
            </w:pPr>
          </w:p>
          <w:p w:rsidR="00694556" w:rsidRPr="00B97E34" w:rsidRDefault="00005C8B" w:rsidP="00B97E34">
            <w:pPr>
              <w:bidi w:val="0"/>
              <w:jc w:val="center"/>
              <w:rPr>
                <w:rFonts w:ascii="FrankRuehl" w:hAnsi="FrankRuehl" w:cs="FrankRuehl"/>
                <w:b/>
                <w:bCs/>
                <w:noProof w:val="0"/>
                <w:sz w:val="36"/>
                <w:szCs w:val="36"/>
                <w:u w:val="single"/>
                <w:rtl/>
              </w:rPr>
            </w:pPr>
            <w:r w:rsidRPr="00B97E34">
              <w:rPr>
                <w:rFonts w:ascii="FrankRuehl" w:hAnsi="FrankRuehl" w:cs="FrankRuehl"/>
                <w:b/>
                <w:bCs/>
                <w:noProof w:val="0"/>
                <w:sz w:val="36"/>
                <w:szCs w:val="36"/>
                <w:u w:val="single"/>
                <w:rtl/>
              </w:rPr>
              <w:t>פסק דין</w:t>
            </w:r>
          </w:p>
          <w:p w:rsidR="00B97E34" w:rsidRPr="00B97E34" w:rsidRDefault="00B97E34" w:rsidP="00B97E34">
            <w:pPr>
              <w:bidi w:val="0"/>
              <w:jc w:val="center"/>
              <w:rPr>
                <w:rFonts w:ascii="FrankRuehl" w:hAnsi="FrankRuehl" w:cs="FrankRuehl"/>
                <w:b/>
                <w:bCs/>
                <w:noProof w:val="0"/>
                <w:sz w:val="28"/>
                <w:szCs w:val="28"/>
                <w:u w:val="single"/>
              </w:rPr>
            </w:pPr>
          </w:p>
        </w:tc>
      </w:tr>
    </w:tbl>
    <w:p w:rsidR="00694556" w:rsidRPr="00B97E34" w:rsidRDefault="00B97E34">
      <w:pPr>
        <w:spacing w:line="360" w:lineRule="auto"/>
        <w:jc w:val="both"/>
        <w:rPr>
          <w:rFonts w:ascii="FrankRuehl" w:hAnsi="FrankRuehl" w:cs="FrankRuehl"/>
          <w:noProof w:val="0"/>
          <w:sz w:val="28"/>
          <w:szCs w:val="28"/>
          <w:rtl/>
        </w:rPr>
      </w:pPr>
      <w:r w:rsidRPr="00B97E34">
        <w:rPr>
          <w:rFonts w:ascii="FrankRuehl" w:hAnsi="FrankRuehl" w:cs="FrankRuehl"/>
          <w:b/>
          <w:bCs/>
          <w:noProof w:val="0"/>
          <w:sz w:val="28"/>
          <w:szCs w:val="28"/>
          <w:u w:val="single"/>
          <w:rtl/>
        </w:rPr>
        <w:t>הצדדים וטענותיהם</w:t>
      </w:r>
      <w:r w:rsidRPr="00B97E34">
        <w:rPr>
          <w:rFonts w:ascii="FrankRuehl" w:hAnsi="FrankRuehl" w:cs="FrankRuehl"/>
          <w:noProof w:val="0"/>
          <w:sz w:val="28"/>
          <w:szCs w:val="28"/>
          <w:rtl/>
        </w:rPr>
        <w:t>:</w:t>
      </w:r>
    </w:p>
    <w:p w:rsidR="00B97E34" w:rsidRDefault="00B97E34">
      <w:pPr>
        <w:spacing w:line="360" w:lineRule="auto"/>
        <w:jc w:val="both"/>
        <w:rPr>
          <w:rFonts w:ascii="FrankRuehl" w:hAnsi="FrankRuehl" w:cs="FrankRuehl"/>
          <w:noProof w:val="0"/>
          <w:sz w:val="28"/>
          <w:szCs w:val="28"/>
          <w:rtl/>
        </w:rPr>
      </w:pPr>
    </w:p>
    <w:p w:rsidR="001E268F" w:rsidRDefault="001E268F" w:rsidP="00ED38C1">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1.</w:t>
      </w:r>
      <w:r>
        <w:rPr>
          <w:rFonts w:ascii="FrankRuehl" w:hAnsi="FrankRuehl" w:cs="FrankRuehl" w:hint="cs"/>
          <w:sz w:val="28"/>
          <w:szCs w:val="28"/>
          <w:rtl/>
        </w:rPr>
        <w:tab/>
      </w:r>
      <w:r w:rsidR="00B97E34" w:rsidRPr="00B97E34">
        <w:rPr>
          <w:rFonts w:ascii="FrankRuehl" w:hAnsi="FrankRuehl" w:cs="FrankRuehl"/>
          <w:noProof w:val="0"/>
          <w:sz w:val="28"/>
          <w:szCs w:val="28"/>
          <w:rtl/>
        </w:rPr>
        <w:t>הצדדים, בני זוג לשעבר, בני העדה הדרוז</w:t>
      </w:r>
      <w:r w:rsidR="004E4EA3">
        <w:rPr>
          <w:rFonts w:ascii="FrankRuehl" w:hAnsi="FrankRuehl" w:cs="FrankRuehl"/>
          <w:noProof w:val="0"/>
          <w:sz w:val="28"/>
          <w:szCs w:val="28"/>
          <w:rtl/>
        </w:rPr>
        <w:t xml:space="preserve">ית, נישאו ביום 30.09.2011 ולהם </w:t>
      </w:r>
      <w:r w:rsidR="00B97E34" w:rsidRPr="00B97E34">
        <w:rPr>
          <w:rFonts w:ascii="FrankRuehl" w:hAnsi="FrankRuehl" w:cs="FrankRuehl"/>
          <w:noProof w:val="0"/>
          <w:sz w:val="28"/>
          <w:szCs w:val="28"/>
          <w:rtl/>
        </w:rPr>
        <w:t xml:space="preserve">קטינה משותפת, </w:t>
      </w:r>
      <w:r w:rsidR="00ED38C1">
        <w:rPr>
          <w:rFonts w:ascii="FrankRuehl" w:hAnsi="FrankRuehl" w:cs="FrankRuehl" w:hint="cs"/>
          <w:noProof w:val="0"/>
          <w:sz w:val="28"/>
          <w:szCs w:val="28"/>
          <w:rtl/>
        </w:rPr>
        <w:t>ג'</w:t>
      </w:r>
      <w:r w:rsidR="00B97E34" w:rsidRPr="00B97E34">
        <w:rPr>
          <w:rFonts w:ascii="FrankRuehl" w:hAnsi="FrankRuehl" w:cs="FrankRuehl"/>
          <w:noProof w:val="0"/>
          <w:sz w:val="28"/>
          <w:szCs w:val="28"/>
          <w:rtl/>
        </w:rPr>
        <w:t xml:space="preserve"> ילידת </w:t>
      </w:r>
      <w:r w:rsidR="00ED38C1">
        <w:rPr>
          <w:rFonts w:ascii="FrankRuehl" w:hAnsi="FrankRuehl" w:cs="FrankRuehl"/>
          <w:noProof w:val="0"/>
          <w:sz w:val="28"/>
          <w:szCs w:val="28"/>
        </w:rPr>
        <w:t>xx.xx.2012</w:t>
      </w:r>
      <w:r w:rsidR="00ED38C1">
        <w:rPr>
          <w:rFonts w:ascii="FrankRuehl" w:hAnsi="FrankRuehl" w:cs="FrankRuehl" w:hint="cs"/>
          <w:noProof w:val="0"/>
          <w:sz w:val="28"/>
          <w:szCs w:val="28"/>
          <w:rtl/>
        </w:rPr>
        <w:t>.</w:t>
      </w:r>
    </w:p>
    <w:p w:rsidR="001E268F" w:rsidRDefault="001E268F" w:rsidP="001E268F">
      <w:pPr>
        <w:spacing w:after="160" w:line="360" w:lineRule="auto"/>
        <w:ind w:left="425" w:hanging="425"/>
        <w:contextualSpacing/>
        <w:jc w:val="both"/>
        <w:rPr>
          <w:rFonts w:ascii="FrankRuehl" w:hAnsi="FrankRuehl" w:cs="FrankRuehl"/>
          <w:noProof w:val="0"/>
          <w:sz w:val="28"/>
          <w:szCs w:val="28"/>
          <w:rtl/>
        </w:rPr>
      </w:pPr>
    </w:p>
    <w:p w:rsidR="001E268F" w:rsidRDefault="001E268F" w:rsidP="001E268F">
      <w:pPr>
        <w:spacing w:after="160" w:line="360" w:lineRule="auto"/>
        <w:ind w:left="425" w:hanging="425"/>
        <w:contextualSpacing/>
        <w:jc w:val="both"/>
        <w:rPr>
          <w:rFonts w:ascii="FrankRuehl" w:hAnsi="FrankRuehl" w:cs="FrankRuehl"/>
          <w:noProof w:val="0"/>
          <w:sz w:val="28"/>
          <w:szCs w:val="28"/>
          <w:rtl/>
        </w:rPr>
      </w:pPr>
      <w:r>
        <w:rPr>
          <w:rFonts w:ascii="FrankRuehl" w:hAnsi="FrankRuehl" w:cs="FrankRuehl" w:hint="cs"/>
          <w:noProof w:val="0"/>
          <w:sz w:val="28"/>
          <w:szCs w:val="28"/>
          <w:rtl/>
        </w:rPr>
        <w:t>2.</w:t>
      </w:r>
      <w:r>
        <w:rPr>
          <w:rFonts w:ascii="FrankRuehl" w:hAnsi="FrankRuehl" w:cs="FrankRuehl" w:hint="cs"/>
          <w:noProof w:val="0"/>
          <w:sz w:val="28"/>
          <w:szCs w:val="28"/>
          <w:rtl/>
        </w:rPr>
        <w:tab/>
      </w:r>
      <w:r w:rsidR="00B97E34">
        <w:rPr>
          <w:rFonts w:ascii="FrankRuehl" w:hAnsi="FrankRuehl" w:cs="FrankRuehl" w:hint="cs"/>
          <w:noProof w:val="0"/>
          <w:sz w:val="28"/>
          <w:szCs w:val="28"/>
          <w:rtl/>
        </w:rPr>
        <w:t>ביום 07.0</w:t>
      </w:r>
      <w:r w:rsidR="008C53F6">
        <w:rPr>
          <w:rFonts w:ascii="FrankRuehl" w:hAnsi="FrankRuehl" w:cs="FrankRuehl" w:hint="cs"/>
          <w:noProof w:val="0"/>
          <w:sz w:val="28"/>
          <w:szCs w:val="28"/>
          <w:rtl/>
        </w:rPr>
        <w:t>8.2014 נפגע הנתבע בתאונת דרכים ונותר עם מגבלות פיזיות ו</w:t>
      </w:r>
      <w:r w:rsidR="005A7B6B">
        <w:rPr>
          <w:rFonts w:ascii="FrankRuehl" w:hAnsi="FrankRuehl" w:cs="FrankRuehl" w:hint="cs"/>
          <w:noProof w:val="0"/>
          <w:sz w:val="28"/>
          <w:szCs w:val="28"/>
          <w:rtl/>
        </w:rPr>
        <w:t xml:space="preserve">עם </w:t>
      </w:r>
      <w:r w:rsidR="008C53F6">
        <w:rPr>
          <w:rFonts w:ascii="FrankRuehl" w:hAnsi="FrankRuehl" w:cs="FrankRuehl" w:hint="cs"/>
          <w:noProof w:val="0"/>
          <w:sz w:val="28"/>
          <w:szCs w:val="28"/>
          <w:rtl/>
        </w:rPr>
        <w:t>פגיעה קוגניטיבי</w:t>
      </w:r>
      <w:r w:rsidR="008C53F6">
        <w:rPr>
          <w:rFonts w:ascii="FrankRuehl" w:hAnsi="FrankRuehl" w:cs="FrankRuehl" w:hint="eastAsia"/>
          <w:noProof w:val="0"/>
          <w:sz w:val="28"/>
          <w:szCs w:val="28"/>
          <w:rtl/>
        </w:rPr>
        <w:t>ת</w:t>
      </w:r>
      <w:r w:rsidR="008C53F6">
        <w:rPr>
          <w:rFonts w:ascii="FrankRuehl" w:hAnsi="FrankRuehl" w:cs="FrankRuehl" w:hint="cs"/>
          <w:noProof w:val="0"/>
          <w:sz w:val="28"/>
          <w:szCs w:val="28"/>
          <w:rtl/>
        </w:rPr>
        <w:t xml:space="preserve"> אשר חומרתה השתנתה ו</w:t>
      </w:r>
      <w:r w:rsidR="004E4EA3">
        <w:rPr>
          <w:rFonts w:ascii="FrankRuehl" w:hAnsi="FrankRuehl" w:cs="FrankRuehl" w:hint="cs"/>
          <w:noProof w:val="0"/>
          <w:sz w:val="28"/>
          <w:szCs w:val="28"/>
          <w:rtl/>
        </w:rPr>
        <w:t>פחתה בחלוף הזמן</w:t>
      </w:r>
      <w:r w:rsidR="005A7B6B">
        <w:rPr>
          <w:rFonts w:ascii="FrankRuehl" w:hAnsi="FrankRuehl" w:cs="FrankRuehl" w:hint="cs"/>
          <w:noProof w:val="0"/>
          <w:sz w:val="28"/>
          <w:szCs w:val="28"/>
          <w:rtl/>
        </w:rPr>
        <w:t>.</w:t>
      </w:r>
    </w:p>
    <w:p w:rsidR="001E268F" w:rsidRDefault="001E268F" w:rsidP="001E268F">
      <w:pPr>
        <w:spacing w:after="160" w:line="360" w:lineRule="auto"/>
        <w:ind w:left="425" w:hanging="425"/>
        <w:contextualSpacing/>
        <w:jc w:val="both"/>
        <w:rPr>
          <w:rFonts w:ascii="FrankRuehl" w:hAnsi="FrankRuehl" w:cs="FrankRuehl"/>
          <w:noProof w:val="0"/>
          <w:sz w:val="28"/>
          <w:szCs w:val="28"/>
          <w:rtl/>
        </w:rPr>
      </w:pPr>
    </w:p>
    <w:p w:rsidR="001E268F" w:rsidRDefault="001E268F" w:rsidP="001E268F">
      <w:pPr>
        <w:spacing w:after="160" w:line="360" w:lineRule="auto"/>
        <w:ind w:left="425" w:hanging="425"/>
        <w:contextualSpacing/>
        <w:jc w:val="both"/>
        <w:rPr>
          <w:rFonts w:ascii="FrankRuehl" w:hAnsi="FrankRuehl" w:cs="FrankRuehl"/>
          <w:sz w:val="28"/>
          <w:szCs w:val="28"/>
          <w:rtl/>
        </w:rPr>
      </w:pPr>
      <w:r>
        <w:rPr>
          <w:rFonts w:ascii="FrankRuehl" w:hAnsi="FrankRuehl" w:cs="FrankRuehl" w:hint="cs"/>
          <w:noProof w:val="0"/>
          <w:sz w:val="28"/>
          <w:szCs w:val="28"/>
          <w:rtl/>
        </w:rPr>
        <w:t>3.</w:t>
      </w:r>
      <w:r>
        <w:rPr>
          <w:rFonts w:ascii="FrankRuehl" w:hAnsi="FrankRuehl" w:cs="FrankRuehl" w:hint="cs"/>
          <w:noProof w:val="0"/>
          <w:sz w:val="28"/>
          <w:szCs w:val="28"/>
          <w:rtl/>
        </w:rPr>
        <w:tab/>
      </w:r>
      <w:r w:rsidR="004E4EA3">
        <w:rPr>
          <w:rFonts w:ascii="FrankRuehl" w:hAnsi="FrankRuehl" w:cs="FrankRuehl" w:hint="cs"/>
          <w:noProof w:val="0"/>
          <w:sz w:val="28"/>
          <w:szCs w:val="28"/>
          <w:rtl/>
        </w:rPr>
        <w:t>בשל הפגיעה הקוגניטיבי</w:t>
      </w:r>
      <w:r w:rsidR="004E4EA3">
        <w:rPr>
          <w:rFonts w:ascii="FrankRuehl" w:hAnsi="FrankRuehl" w:cs="FrankRuehl" w:hint="eastAsia"/>
          <w:noProof w:val="0"/>
          <w:sz w:val="28"/>
          <w:szCs w:val="28"/>
          <w:rtl/>
        </w:rPr>
        <w:t>ת</w:t>
      </w:r>
      <w:r w:rsidR="004E4EA3">
        <w:rPr>
          <w:rFonts w:ascii="FrankRuehl" w:hAnsi="FrankRuehl" w:cs="FrankRuehl" w:hint="cs"/>
          <w:noProof w:val="0"/>
          <w:sz w:val="28"/>
          <w:szCs w:val="28"/>
          <w:rtl/>
        </w:rPr>
        <w:t xml:space="preserve"> של הנתבע, </w:t>
      </w:r>
      <w:r w:rsidR="005A7B6B">
        <w:rPr>
          <w:rFonts w:ascii="FrankRuehl" w:hAnsi="FrankRuehl" w:cs="FrankRuehl" w:hint="cs"/>
          <w:noProof w:val="0"/>
          <w:sz w:val="28"/>
          <w:szCs w:val="28"/>
          <w:rtl/>
        </w:rPr>
        <w:t xml:space="preserve">מונתה התובעת כאפוטרופא עבורו, </w:t>
      </w:r>
      <w:r w:rsidR="008C53F6">
        <w:rPr>
          <w:rFonts w:ascii="FrankRuehl" w:hAnsi="FrankRuehl" w:cs="FrankRuehl" w:hint="cs"/>
          <w:noProof w:val="0"/>
          <w:sz w:val="28"/>
          <w:szCs w:val="28"/>
          <w:rtl/>
        </w:rPr>
        <w:t xml:space="preserve">בתקופה שמיום </w:t>
      </w:r>
      <w:r w:rsidR="000D0D8F">
        <w:rPr>
          <w:rFonts w:ascii="FrankRuehl" w:hAnsi="FrankRuehl" w:cs="FrankRuehl" w:hint="cs"/>
          <w:noProof w:val="0"/>
          <w:sz w:val="28"/>
          <w:szCs w:val="28"/>
          <w:rtl/>
        </w:rPr>
        <w:t xml:space="preserve">04.05.2015 </w:t>
      </w:r>
      <w:r w:rsidR="008C53F6">
        <w:rPr>
          <w:rFonts w:ascii="FrankRuehl" w:hAnsi="FrankRuehl" w:cs="FrankRuehl" w:hint="cs"/>
          <w:noProof w:val="0"/>
          <w:sz w:val="28"/>
          <w:szCs w:val="28"/>
          <w:rtl/>
        </w:rPr>
        <w:t xml:space="preserve">עד ליום </w:t>
      </w:r>
      <w:r w:rsidR="000D0D8F">
        <w:rPr>
          <w:rFonts w:ascii="FrankRuehl" w:hAnsi="FrankRuehl" w:cs="FrankRuehl" w:hint="cs"/>
          <w:noProof w:val="0"/>
          <w:sz w:val="28"/>
          <w:szCs w:val="28"/>
          <w:rtl/>
        </w:rPr>
        <w:t>05.04.2017</w:t>
      </w:r>
      <w:r w:rsidR="005A7B6B">
        <w:rPr>
          <w:rFonts w:ascii="FrankRuehl" w:hAnsi="FrankRuehl" w:cs="FrankRuehl" w:hint="cs"/>
          <w:noProof w:val="0"/>
          <w:sz w:val="28"/>
          <w:szCs w:val="28"/>
          <w:rtl/>
        </w:rPr>
        <w:t xml:space="preserve">. ראו ההחלטות </w:t>
      </w:r>
      <w:r w:rsidR="004E4EA3">
        <w:rPr>
          <w:rFonts w:ascii="FrankRuehl" w:hAnsi="FrankRuehl" w:cs="FrankRuehl" w:hint="cs"/>
          <w:noProof w:val="0"/>
          <w:sz w:val="28"/>
          <w:szCs w:val="28"/>
          <w:rtl/>
        </w:rPr>
        <w:t>ב</w:t>
      </w:r>
      <w:r w:rsidR="008C53F6">
        <w:rPr>
          <w:rFonts w:ascii="FrankRuehl" w:hAnsi="FrankRuehl" w:cs="FrankRuehl" w:hint="cs"/>
          <w:noProof w:val="0"/>
          <w:sz w:val="28"/>
          <w:szCs w:val="28"/>
          <w:rtl/>
        </w:rPr>
        <w:t>הליך א"פ 35888-02-15</w:t>
      </w:r>
      <w:r w:rsidR="000D0D8F">
        <w:rPr>
          <w:rFonts w:ascii="FrankRuehl" w:hAnsi="FrankRuehl" w:cs="FrankRuehl" w:hint="cs"/>
          <w:noProof w:val="0"/>
          <w:sz w:val="28"/>
          <w:szCs w:val="28"/>
          <w:rtl/>
        </w:rPr>
        <w:t xml:space="preserve">. </w:t>
      </w:r>
    </w:p>
    <w:p w:rsidR="001E268F" w:rsidRDefault="001E268F" w:rsidP="001E268F">
      <w:pPr>
        <w:spacing w:after="160" w:line="360" w:lineRule="auto"/>
        <w:ind w:left="425" w:hanging="425"/>
        <w:contextualSpacing/>
        <w:jc w:val="both"/>
        <w:rPr>
          <w:rFonts w:ascii="FrankRuehl" w:hAnsi="FrankRuehl" w:cs="FrankRuehl"/>
          <w:sz w:val="28"/>
          <w:szCs w:val="28"/>
          <w:rtl/>
        </w:rPr>
      </w:pPr>
    </w:p>
    <w:p w:rsidR="001E268F" w:rsidRDefault="001E268F" w:rsidP="001E268F">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4.</w:t>
      </w:r>
      <w:r>
        <w:rPr>
          <w:rFonts w:ascii="FrankRuehl" w:hAnsi="FrankRuehl" w:cs="FrankRuehl" w:hint="cs"/>
          <w:sz w:val="28"/>
          <w:szCs w:val="28"/>
          <w:rtl/>
        </w:rPr>
        <w:tab/>
      </w:r>
      <w:r w:rsidR="00361999">
        <w:rPr>
          <w:rFonts w:ascii="FrankRuehl" w:hAnsi="FrankRuehl" w:cs="FrankRuehl" w:hint="cs"/>
          <w:noProof w:val="0"/>
          <w:sz w:val="28"/>
          <w:szCs w:val="28"/>
          <w:rtl/>
        </w:rPr>
        <w:t xml:space="preserve">נוסף על כך, </w:t>
      </w:r>
      <w:r w:rsidR="005A7B6B">
        <w:rPr>
          <w:rFonts w:ascii="FrankRuehl" w:hAnsi="FrankRuehl" w:cs="FrankRuehl" w:hint="cs"/>
          <w:noProof w:val="0"/>
          <w:sz w:val="28"/>
          <w:szCs w:val="28"/>
          <w:rtl/>
        </w:rPr>
        <w:t xml:space="preserve">נוכח </w:t>
      </w:r>
      <w:r w:rsidR="00361999">
        <w:rPr>
          <w:rFonts w:ascii="FrankRuehl" w:hAnsi="FrankRuehl" w:cs="FrankRuehl" w:hint="cs"/>
          <w:noProof w:val="0"/>
          <w:sz w:val="28"/>
          <w:szCs w:val="28"/>
          <w:rtl/>
        </w:rPr>
        <w:t xml:space="preserve">המגבלות הפיזיות של הנתבע </w:t>
      </w:r>
      <w:r w:rsidR="005A7B6B">
        <w:rPr>
          <w:rFonts w:ascii="FrankRuehl" w:hAnsi="FrankRuehl" w:cs="FrankRuehl" w:hint="cs"/>
          <w:noProof w:val="0"/>
          <w:sz w:val="28"/>
          <w:szCs w:val="28"/>
          <w:rtl/>
        </w:rPr>
        <w:t xml:space="preserve">הצדדים עזבו את הדירה בה התגוררו </w:t>
      </w:r>
      <w:r w:rsidR="00361999">
        <w:rPr>
          <w:rFonts w:ascii="FrankRuehl" w:hAnsi="FrankRuehl" w:cs="FrankRuehl" w:hint="cs"/>
          <w:noProof w:val="0"/>
          <w:sz w:val="28"/>
          <w:szCs w:val="28"/>
          <w:rtl/>
        </w:rPr>
        <w:t>עובר לתאונה, וביצעו עבודות התאמה ל</w:t>
      </w:r>
      <w:r w:rsidR="000D0D8F">
        <w:rPr>
          <w:rFonts w:ascii="FrankRuehl" w:hAnsi="FrankRuehl" w:cs="FrankRuehl" w:hint="cs"/>
          <w:noProof w:val="0"/>
          <w:sz w:val="28"/>
          <w:szCs w:val="28"/>
          <w:rtl/>
        </w:rPr>
        <w:t>דירה בה התגוררו על-מנת להתאימהּ</w:t>
      </w:r>
      <w:r w:rsidR="004E4EA3">
        <w:rPr>
          <w:rFonts w:ascii="FrankRuehl" w:hAnsi="FrankRuehl" w:cs="FrankRuehl" w:hint="cs"/>
          <w:noProof w:val="0"/>
          <w:sz w:val="28"/>
          <w:szCs w:val="28"/>
          <w:rtl/>
        </w:rPr>
        <w:t xml:space="preserve"> לצרכיו</w:t>
      </w:r>
      <w:r w:rsidR="005A7B6B">
        <w:rPr>
          <w:rFonts w:ascii="FrankRuehl" w:hAnsi="FrankRuehl" w:cs="FrankRuehl" w:hint="cs"/>
          <w:noProof w:val="0"/>
          <w:sz w:val="28"/>
          <w:szCs w:val="28"/>
          <w:rtl/>
        </w:rPr>
        <w:t xml:space="preserve"> הפיזיים </w:t>
      </w:r>
      <w:r w:rsidR="00361999">
        <w:rPr>
          <w:rFonts w:ascii="FrankRuehl" w:hAnsi="FrankRuehl" w:cs="FrankRuehl" w:hint="cs"/>
          <w:noProof w:val="0"/>
          <w:sz w:val="28"/>
          <w:szCs w:val="28"/>
          <w:rtl/>
        </w:rPr>
        <w:t xml:space="preserve">החדשים של הנתבע שנותר מרותק לכיסא גלגלים. עבודות ההתאמה הסתיימו בחודש יולי 2017 והצדדים שבו </w:t>
      </w:r>
      <w:r w:rsidR="005A7B6B">
        <w:rPr>
          <w:rFonts w:ascii="FrankRuehl" w:hAnsi="FrankRuehl" w:cs="FrankRuehl" w:hint="cs"/>
          <w:noProof w:val="0"/>
          <w:sz w:val="28"/>
          <w:szCs w:val="28"/>
          <w:rtl/>
        </w:rPr>
        <w:t xml:space="preserve"> להתגורר בדירה </w:t>
      </w:r>
      <w:r w:rsidR="003A7D75">
        <w:rPr>
          <w:rFonts w:ascii="FrankRuehl" w:hAnsi="FrankRuehl" w:cs="FrankRuehl" w:hint="cs"/>
          <w:noProof w:val="0"/>
          <w:sz w:val="28"/>
          <w:szCs w:val="28"/>
          <w:rtl/>
        </w:rPr>
        <w:t>הנ"ל</w:t>
      </w:r>
      <w:r w:rsidR="005A7B6B">
        <w:rPr>
          <w:rFonts w:ascii="FrankRuehl" w:hAnsi="FrankRuehl" w:cs="FrankRuehl" w:hint="cs"/>
          <w:noProof w:val="0"/>
          <w:sz w:val="28"/>
          <w:szCs w:val="28"/>
          <w:rtl/>
        </w:rPr>
        <w:t>.</w:t>
      </w:r>
      <w:r w:rsidR="000D0D8F">
        <w:rPr>
          <w:rFonts w:ascii="FrankRuehl" w:hAnsi="FrankRuehl" w:cs="FrankRuehl" w:hint="cs"/>
          <w:noProof w:val="0"/>
          <w:sz w:val="28"/>
          <w:szCs w:val="28"/>
          <w:rtl/>
        </w:rPr>
        <w:t xml:space="preserve"> </w:t>
      </w:r>
    </w:p>
    <w:p w:rsidR="001E268F" w:rsidRDefault="001E268F" w:rsidP="001E268F">
      <w:pPr>
        <w:spacing w:after="160" w:line="360" w:lineRule="auto"/>
        <w:ind w:left="425" w:hanging="425"/>
        <w:contextualSpacing/>
        <w:jc w:val="both"/>
        <w:rPr>
          <w:rFonts w:ascii="FrankRuehl" w:hAnsi="FrankRuehl" w:cs="FrankRuehl"/>
          <w:sz w:val="28"/>
          <w:szCs w:val="28"/>
          <w:rtl/>
        </w:rPr>
      </w:pPr>
    </w:p>
    <w:p w:rsidR="001E268F" w:rsidRDefault="001E268F" w:rsidP="001E268F">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5.</w:t>
      </w:r>
      <w:r>
        <w:rPr>
          <w:rFonts w:ascii="FrankRuehl" w:hAnsi="FrankRuehl" w:cs="FrankRuehl" w:hint="cs"/>
          <w:sz w:val="28"/>
          <w:szCs w:val="28"/>
          <w:rtl/>
        </w:rPr>
        <w:tab/>
      </w:r>
      <w:r w:rsidR="004E4EA3" w:rsidRPr="003A7D75">
        <w:rPr>
          <w:rFonts w:ascii="FrankRuehl" w:hAnsi="FrankRuehl" w:cs="FrankRuehl" w:hint="cs"/>
          <w:b/>
          <w:bCs/>
          <w:noProof w:val="0"/>
          <w:sz w:val="28"/>
          <w:szCs w:val="28"/>
          <w:rtl/>
        </w:rPr>
        <w:t xml:space="preserve">כחצי שנה לאחר מכן, </w:t>
      </w:r>
      <w:r w:rsidR="000D0D8F" w:rsidRPr="003A7D75">
        <w:rPr>
          <w:rFonts w:ascii="FrankRuehl" w:hAnsi="FrankRuehl" w:cs="FrankRuehl" w:hint="cs"/>
          <w:b/>
          <w:bCs/>
          <w:noProof w:val="0"/>
          <w:sz w:val="28"/>
          <w:szCs w:val="28"/>
          <w:rtl/>
        </w:rPr>
        <w:t>ביום 28.02.2018</w:t>
      </w:r>
      <w:r w:rsidR="003B40E7">
        <w:rPr>
          <w:rFonts w:ascii="FrankRuehl" w:hAnsi="FrankRuehl" w:cs="FrankRuehl" w:hint="cs"/>
          <w:b/>
          <w:bCs/>
          <w:noProof w:val="0"/>
          <w:sz w:val="28"/>
          <w:szCs w:val="28"/>
          <w:rtl/>
        </w:rPr>
        <w:t>,</w:t>
      </w:r>
      <w:r w:rsidR="000D0D8F" w:rsidRPr="003A7D75">
        <w:rPr>
          <w:rFonts w:ascii="FrankRuehl" w:hAnsi="FrankRuehl" w:cs="FrankRuehl" w:hint="cs"/>
          <w:b/>
          <w:bCs/>
          <w:noProof w:val="0"/>
          <w:sz w:val="28"/>
          <w:szCs w:val="28"/>
          <w:rtl/>
        </w:rPr>
        <w:t xml:space="preserve"> עזבה התובעת את הדירה בה התגוררו הצדדים </w:t>
      </w:r>
      <w:r w:rsidR="004E4EA3" w:rsidRPr="003A7D75">
        <w:rPr>
          <w:rFonts w:ascii="FrankRuehl" w:hAnsi="FrankRuehl" w:cs="FrankRuehl" w:hint="cs"/>
          <w:b/>
          <w:bCs/>
          <w:noProof w:val="0"/>
          <w:sz w:val="28"/>
          <w:szCs w:val="28"/>
          <w:rtl/>
        </w:rPr>
        <w:t xml:space="preserve"> יחד עם </w:t>
      </w:r>
      <w:r w:rsidR="000D0D8F" w:rsidRPr="003A7D75">
        <w:rPr>
          <w:rFonts w:ascii="FrankRuehl" w:hAnsi="FrankRuehl" w:cs="FrankRuehl" w:hint="cs"/>
          <w:b/>
          <w:bCs/>
          <w:noProof w:val="0"/>
          <w:sz w:val="28"/>
          <w:szCs w:val="28"/>
          <w:rtl/>
        </w:rPr>
        <w:t>הקטינה</w:t>
      </w:r>
      <w:r w:rsidR="004E4EA3" w:rsidRPr="003A7D75">
        <w:rPr>
          <w:rFonts w:ascii="FrankRuehl" w:hAnsi="FrankRuehl" w:cs="FrankRuehl" w:hint="cs"/>
          <w:b/>
          <w:bCs/>
          <w:noProof w:val="0"/>
          <w:sz w:val="28"/>
          <w:szCs w:val="28"/>
          <w:rtl/>
        </w:rPr>
        <w:t xml:space="preserve"> המשותפת לצדדים - ומאותו מועד הצדדים מתגוררים בנפרד.</w:t>
      </w:r>
    </w:p>
    <w:p w:rsidR="001E268F" w:rsidRDefault="001E268F" w:rsidP="001E268F">
      <w:pPr>
        <w:spacing w:after="160" w:line="360" w:lineRule="auto"/>
        <w:ind w:left="425" w:hanging="425"/>
        <w:contextualSpacing/>
        <w:jc w:val="both"/>
        <w:rPr>
          <w:rFonts w:ascii="FrankRuehl" w:hAnsi="FrankRuehl" w:cs="FrankRuehl"/>
          <w:noProof w:val="0"/>
          <w:sz w:val="28"/>
          <w:szCs w:val="28"/>
          <w:rtl/>
        </w:rPr>
      </w:pPr>
    </w:p>
    <w:p w:rsidR="001E268F" w:rsidRDefault="001E268F" w:rsidP="001E268F">
      <w:pPr>
        <w:spacing w:after="160" w:line="360" w:lineRule="auto"/>
        <w:ind w:left="425" w:hanging="425"/>
        <w:contextualSpacing/>
        <w:jc w:val="both"/>
        <w:rPr>
          <w:rFonts w:ascii="FrankRuehl" w:hAnsi="FrankRuehl" w:cs="FrankRuehl"/>
          <w:sz w:val="28"/>
          <w:szCs w:val="28"/>
          <w:rtl/>
        </w:rPr>
      </w:pPr>
      <w:r>
        <w:rPr>
          <w:rFonts w:ascii="FrankRuehl" w:hAnsi="FrankRuehl" w:cs="FrankRuehl" w:hint="cs"/>
          <w:noProof w:val="0"/>
          <w:sz w:val="28"/>
          <w:szCs w:val="28"/>
          <w:rtl/>
        </w:rPr>
        <w:lastRenderedPageBreak/>
        <w:t>6.</w:t>
      </w:r>
      <w:r>
        <w:rPr>
          <w:rFonts w:ascii="FrankRuehl" w:hAnsi="FrankRuehl" w:cs="FrankRuehl" w:hint="cs"/>
          <w:noProof w:val="0"/>
          <w:sz w:val="28"/>
          <w:szCs w:val="28"/>
          <w:rtl/>
        </w:rPr>
        <w:tab/>
      </w:r>
      <w:r w:rsidR="003A7D75">
        <w:rPr>
          <w:rFonts w:ascii="FrankRuehl" w:hAnsi="FrankRuehl" w:cs="FrankRuehl" w:hint="cs"/>
          <w:noProof w:val="0"/>
          <w:sz w:val="28"/>
          <w:szCs w:val="28"/>
          <w:rtl/>
        </w:rPr>
        <w:t>התובעת טענה כי היא נאלצה לעזוב את המגורים המשותפים בשל התקפות זעם ואלימות פיזית של הנתבע כלפיה וכלפי הקטינה ואילו הנתבע הכחיש את הטענות וטען כי יש לראות בתובעת כמי שא</w:t>
      </w:r>
      <w:r w:rsidR="00ED38C1">
        <w:rPr>
          <w:rFonts w:ascii="FrankRuehl" w:hAnsi="FrankRuehl" w:cs="FrankRuehl" w:hint="cs"/>
          <w:noProof w:val="0"/>
          <w:sz w:val="28"/>
          <w:szCs w:val="28"/>
          <w:rtl/>
        </w:rPr>
        <w:t>ינה זכאית למזונותיה בשל עזיבתה.</w:t>
      </w:r>
    </w:p>
    <w:p w:rsidR="001E268F" w:rsidRDefault="001E268F" w:rsidP="001E268F">
      <w:pPr>
        <w:spacing w:after="160" w:line="360" w:lineRule="auto"/>
        <w:ind w:left="425" w:hanging="425"/>
        <w:contextualSpacing/>
        <w:jc w:val="both"/>
        <w:rPr>
          <w:rFonts w:ascii="FrankRuehl" w:hAnsi="FrankRuehl" w:cs="FrankRuehl"/>
          <w:sz w:val="28"/>
          <w:szCs w:val="28"/>
          <w:rtl/>
        </w:rPr>
      </w:pPr>
    </w:p>
    <w:p w:rsidR="001E268F" w:rsidRDefault="001E268F" w:rsidP="001E268F">
      <w:pPr>
        <w:spacing w:after="160" w:line="360" w:lineRule="auto"/>
        <w:ind w:left="425" w:hanging="425"/>
        <w:contextualSpacing/>
        <w:jc w:val="both"/>
        <w:rPr>
          <w:rFonts w:ascii="FrankRuehl" w:hAnsi="FrankRuehl" w:cs="FrankRuehl"/>
          <w:noProof w:val="0"/>
          <w:sz w:val="28"/>
          <w:szCs w:val="28"/>
          <w:rtl/>
        </w:rPr>
      </w:pPr>
      <w:r>
        <w:rPr>
          <w:rFonts w:ascii="FrankRuehl" w:hAnsi="FrankRuehl" w:cs="FrankRuehl" w:hint="cs"/>
          <w:sz w:val="28"/>
          <w:szCs w:val="28"/>
          <w:rtl/>
        </w:rPr>
        <w:t>7.</w:t>
      </w:r>
      <w:r>
        <w:rPr>
          <w:rFonts w:ascii="FrankRuehl" w:hAnsi="FrankRuehl" w:cs="FrankRuehl" w:hint="cs"/>
          <w:sz w:val="28"/>
          <w:szCs w:val="28"/>
          <w:rtl/>
        </w:rPr>
        <w:tab/>
      </w:r>
      <w:r w:rsidR="000D0D8F">
        <w:rPr>
          <w:rFonts w:ascii="FrankRuehl" w:hAnsi="FrankRuehl" w:cs="FrankRuehl" w:hint="cs"/>
          <w:noProof w:val="0"/>
          <w:sz w:val="28"/>
          <w:szCs w:val="28"/>
          <w:rtl/>
        </w:rPr>
        <w:t xml:space="preserve">ביום 21.10.2018 נפסק על חשבון מזונות זמניים </w:t>
      </w:r>
      <w:r w:rsidR="003A7D75">
        <w:rPr>
          <w:rFonts w:ascii="FrankRuehl" w:hAnsi="FrankRuehl" w:cs="FrankRuehl" w:hint="cs"/>
          <w:noProof w:val="0"/>
          <w:sz w:val="28"/>
          <w:szCs w:val="28"/>
          <w:rtl/>
        </w:rPr>
        <w:t xml:space="preserve">ומדור </w:t>
      </w:r>
      <w:r w:rsidR="000D0D8F">
        <w:rPr>
          <w:rFonts w:ascii="FrankRuehl" w:hAnsi="FrankRuehl" w:cs="FrankRuehl" w:hint="cs"/>
          <w:noProof w:val="0"/>
          <w:sz w:val="28"/>
          <w:szCs w:val="28"/>
          <w:rtl/>
        </w:rPr>
        <w:t>הקטינה</w:t>
      </w:r>
      <w:r w:rsidR="00201117">
        <w:rPr>
          <w:rFonts w:ascii="FrankRuehl" w:hAnsi="FrankRuehl" w:cs="FrankRuehl" w:hint="cs"/>
          <w:noProof w:val="0"/>
          <w:sz w:val="28"/>
          <w:szCs w:val="28"/>
          <w:rtl/>
        </w:rPr>
        <w:t xml:space="preserve"> סך</w:t>
      </w:r>
      <w:r w:rsidR="000D0D8F">
        <w:rPr>
          <w:rFonts w:ascii="FrankRuehl" w:hAnsi="FrankRuehl" w:cs="FrankRuehl" w:hint="cs"/>
          <w:noProof w:val="0"/>
          <w:sz w:val="28"/>
          <w:szCs w:val="28"/>
          <w:rtl/>
        </w:rPr>
        <w:t xml:space="preserve"> 1,700 ₪ </w:t>
      </w:r>
      <w:r w:rsidR="00201117">
        <w:rPr>
          <w:rFonts w:ascii="FrankRuehl" w:hAnsi="FrankRuehl" w:cs="FrankRuehl" w:hint="cs"/>
          <w:noProof w:val="0"/>
          <w:sz w:val="28"/>
          <w:szCs w:val="28"/>
          <w:rtl/>
        </w:rPr>
        <w:t xml:space="preserve">לחודש </w:t>
      </w:r>
      <w:r w:rsidR="007402F4">
        <w:rPr>
          <w:rFonts w:ascii="FrankRuehl" w:hAnsi="FrankRuehl" w:cs="FrankRuehl" w:hint="cs"/>
          <w:noProof w:val="0"/>
          <w:sz w:val="28"/>
          <w:szCs w:val="28"/>
          <w:rtl/>
        </w:rPr>
        <w:t xml:space="preserve">ועל חשבון </w:t>
      </w:r>
      <w:r w:rsidR="000D0D8F">
        <w:rPr>
          <w:rFonts w:ascii="FrankRuehl" w:hAnsi="FrankRuehl" w:cs="FrankRuehl" w:hint="cs"/>
          <w:noProof w:val="0"/>
          <w:sz w:val="28"/>
          <w:szCs w:val="28"/>
          <w:rtl/>
        </w:rPr>
        <w:t xml:space="preserve">מזונות זמניים </w:t>
      </w:r>
      <w:r w:rsidR="003A7D75">
        <w:rPr>
          <w:rFonts w:ascii="FrankRuehl" w:hAnsi="FrankRuehl" w:cs="FrankRuehl" w:hint="cs"/>
          <w:noProof w:val="0"/>
          <w:sz w:val="28"/>
          <w:szCs w:val="28"/>
          <w:rtl/>
        </w:rPr>
        <w:t xml:space="preserve">ומדור </w:t>
      </w:r>
      <w:r w:rsidR="000D0D8F">
        <w:rPr>
          <w:rFonts w:ascii="FrankRuehl" w:hAnsi="FrankRuehl" w:cs="FrankRuehl" w:hint="cs"/>
          <w:noProof w:val="0"/>
          <w:sz w:val="28"/>
          <w:szCs w:val="28"/>
          <w:rtl/>
        </w:rPr>
        <w:t xml:space="preserve">התובעת סך 1,200 ₪ לחודש. </w:t>
      </w:r>
    </w:p>
    <w:p w:rsidR="001E268F" w:rsidRDefault="001E268F" w:rsidP="001E268F">
      <w:pPr>
        <w:spacing w:after="160" w:line="360" w:lineRule="auto"/>
        <w:ind w:left="425" w:hanging="425"/>
        <w:contextualSpacing/>
        <w:jc w:val="both"/>
        <w:rPr>
          <w:rFonts w:ascii="FrankRuehl" w:hAnsi="FrankRuehl" w:cs="FrankRuehl"/>
          <w:noProof w:val="0"/>
          <w:sz w:val="28"/>
          <w:szCs w:val="28"/>
          <w:rtl/>
        </w:rPr>
      </w:pPr>
    </w:p>
    <w:p w:rsidR="001E268F" w:rsidRDefault="001E268F" w:rsidP="001E268F">
      <w:pPr>
        <w:spacing w:after="160" w:line="360" w:lineRule="auto"/>
        <w:ind w:left="425" w:hanging="425"/>
        <w:contextualSpacing/>
        <w:jc w:val="both"/>
        <w:rPr>
          <w:rFonts w:ascii="FrankRuehl" w:hAnsi="FrankRuehl" w:cs="FrankRuehl"/>
          <w:b/>
          <w:bCs/>
          <w:noProof w:val="0"/>
          <w:sz w:val="28"/>
          <w:szCs w:val="28"/>
          <w:rtl/>
        </w:rPr>
      </w:pPr>
      <w:r>
        <w:rPr>
          <w:rFonts w:ascii="FrankRuehl" w:hAnsi="FrankRuehl" w:cs="FrankRuehl" w:hint="cs"/>
          <w:noProof w:val="0"/>
          <w:sz w:val="28"/>
          <w:szCs w:val="28"/>
          <w:rtl/>
        </w:rPr>
        <w:t>8.</w:t>
      </w:r>
      <w:r>
        <w:rPr>
          <w:rFonts w:ascii="FrankRuehl" w:hAnsi="FrankRuehl" w:cs="FrankRuehl" w:hint="cs"/>
          <w:noProof w:val="0"/>
          <w:sz w:val="28"/>
          <w:szCs w:val="28"/>
          <w:rtl/>
        </w:rPr>
        <w:tab/>
      </w:r>
      <w:r w:rsidR="00201117">
        <w:rPr>
          <w:rFonts w:ascii="FrankRuehl" w:hAnsi="FrankRuehl" w:cs="FrankRuehl" w:hint="cs"/>
          <w:noProof w:val="0"/>
          <w:sz w:val="28"/>
          <w:szCs w:val="28"/>
          <w:rtl/>
        </w:rPr>
        <w:t>בהמשך ניתנו פסקי דין בהעדר הגנה, פסקי הדין בוטלו</w:t>
      </w:r>
      <w:r w:rsidR="00ED18DA">
        <w:rPr>
          <w:rFonts w:ascii="FrankRuehl" w:hAnsi="FrankRuehl" w:cs="FrankRuehl" w:hint="cs"/>
          <w:noProof w:val="0"/>
          <w:sz w:val="28"/>
          <w:szCs w:val="28"/>
          <w:rtl/>
        </w:rPr>
        <w:t xml:space="preserve">, כפוף לתשלום הוצאות, </w:t>
      </w:r>
      <w:r w:rsidR="00201117">
        <w:rPr>
          <w:rFonts w:ascii="FrankRuehl" w:hAnsi="FrankRuehl" w:cs="FrankRuehl" w:hint="cs"/>
          <w:noProof w:val="0"/>
          <w:sz w:val="28"/>
          <w:szCs w:val="28"/>
          <w:rtl/>
        </w:rPr>
        <w:t>משעלתה טענה בדבר העדר כשרות של ה</w:t>
      </w:r>
      <w:r w:rsidR="00ED18DA">
        <w:rPr>
          <w:rFonts w:ascii="FrankRuehl" w:hAnsi="FrankRuehl" w:cs="FrankRuehl" w:hint="cs"/>
          <w:noProof w:val="0"/>
          <w:sz w:val="28"/>
          <w:szCs w:val="28"/>
          <w:rtl/>
        </w:rPr>
        <w:t xml:space="preserve">תובע לטפל בענייניו. לאחר ביטול פסה"ד, חויב הנתבע בהמשך תשלום התשלומים שנפסקו </w:t>
      </w:r>
      <w:r w:rsidR="00385F2C">
        <w:rPr>
          <w:rFonts w:ascii="FrankRuehl" w:hAnsi="FrankRuehl" w:cs="FrankRuehl" w:hint="cs"/>
          <w:noProof w:val="0"/>
          <w:sz w:val="28"/>
          <w:szCs w:val="28"/>
          <w:rtl/>
        </w:rPr>
        <w:t>על חשבון המזונות כפי החלטתי מיום 21.10.2018.</w:t>
      </w:r>
    </w:p>
    <w:p w:rsidR="001E268F" w:rsidRDefault="001E268F" w:rsidP="001E268F">
      <w:pPr>
        <w:spacing w:after="160" w:line="360" w:lineRule="auto"/>
        <w:ind w:left="425" w:hanging="425"/>
        <w:contextualSpacing/>
        <w:jc w:val="both"/>
        <w:rPr>
          <w:rFonts w:ascii="FrankRuehl" w:hAnsi="FrankRuehl" w:cs="FrankRuehl"/>
          <w:b/>
          <w:bCs/>
          <w:noProof w:val="0"/>
          <w:sz w:val="28"/>
          <w:szCs w:val="28"/>
          <w:rtl/>
        </w:rPr>
      </w:pPr>
    </w:p>
    <w:p w:rsidR="00E134AC" w:rsidRDefault="001E268F" w:rsidP="00E134AC">
      <w:pPr>
        <w:spacing w:after="160" w:line="360" w:lineRule="auto"/>
        <w:ind w:left="425" w:hanging="425"/>
        <w:contextualSpacing/>
        <w:jc w:val="both"/>
        <w:rPr>
          <w:rFonts w:ascii="FrankRuehl" w:hAnsi="FrankRuehl" w:cs="FrankRuehl"/>
          <w:sz w:val="28"/>
          <w:szCs w:val="28"/>
          <w:rtl/>
        </w:rPr>
      </w:pPr>
      <w:r w:rsidRPr="00E134AC">
        <w:rPr>
          <w:rFonts w:ascii="FrankRuehl" w:hAnsi="FrankRuehl" w:cs="FrankRuehl" w:hint="cs"/>
          <w:noProof w:val="0"/>
          <w:sz w:val="28"/>
          <w:szCs w:val="28"/>
          <w:rtl/>
        </w:rPr>
        <w:t>9.</w:t>
      </w:r>
      <w:r w:rsidRPr="00E134AC">
        <w:rPr>
          <w:rFonts w:ascii="FrankRuehl" w:hAnsi="FrankRuehl" w:cs="FrankRuehl" w:hint="cs"/>
          <w:noProof w:val="0"/>
          <w:sz w:val="28"/>
          <w:szCs w:val="28"/>
          <w:rtl/>
        </w:rPr>
        <w:tab/>
      </w:r>
      <w:r w:rsidR="007402F4" w:rsidRPr="003A7D75">
        <w:rPr>
          <w:rFonts w:ascii="FrankRuehl" w:hAnsi="FrankRuehl" w:cs="FrankRuehl" w:hint="cs"/>
          <w:b/>
          <w:bCs/>
          <w:noProof w:val="0"/>
          <w:sz w:val="28"/>
          <w:szCs w:val="28"/>
          <w:rtl/>
        </w:rPr>
        <w:t>הצדדים התגרשו ביום 27.10.2021.</w:t>
      </w:r>
    </w:p>
    <w:p w:rsidR="00E134AC" w:rsidRDefault="00E134AC" w:rsidP="00E134AC">
      <w:pPr>
        <w:spacing w:line="360" w:lineRule="auto"/>
        <w:ind w:left="720" w:hanging="720"/>
        <w:jc w:val="both"/>
        <w:rPr>
          <w:rFonts w:ascii="FrankRuehl" w:hAnsi="FrankRuehl" w:cs="FrankRuehl"/>
          <w:noProof w:val="0"/>
          <w:sz w:val="28"/>
          <w:szCs w:val="28"/>
          <w:rtl/>
        </w:rPr>
      </w:pPr>
    </w:p>
    <w:p w:rsidR="00E134AC" w:rsidRDefault="00E134AC" w:rsidP="00E134AC">
      <w:pPr>
        <w:spacing w:line="360" w:lineRule="auto"/>
        <w:ind w:left="720" w:hanging="720"/>
        <w:jc w:val="both"/>
        <w:rPr>
          <w:rFonts w:ascii="FrankRuehl" w:hAnsi="FrankRuehl" w:cs="FrankRuehl"/>
          <w:noProof w:val="0"/>
          <w:sz w:val="28"/>
          <w:szCs w:val="28"/>
          <w:rtl/>
        </w:rPr>
      </w:pPr>
      <w:r>
        <w:rPr>
          <w:rFonts w:ascii="FrankRuehl" w:hAnsi="FrankRuehl" w:cs="FrankRuehl" w:hint="cs"/>
          <w:b/>
          <w:bCs/>
          <w:noProof w:val="0"/>
          <w:sz w:val="28"/>
          <w:szCs w:val="28"/>
          <w:u w:val="single"/>
          <w:rtl/>
        </w:rPr>
        <w:t>דיון והכרעה</w:t>
      </w:r>
      <w:r>
        <w:rPr>
          <w:rFonts w:ascii="FrankRuehl" w:hAnsi="FrankRuehl" w:cs="FrankRuehl" w:hint="cs"/>
          <w:noProof w:val="0"/>
          <w:sz w:val="28"/>
          <w:szCs w:val="28"/>
          <w:rtl/>
        </w:rPr>
        <w:t>:</w:t>
      </w:r>
    </w:p>
    <w:p w:rsidR="00E134AC" w:rsidRDefault="00E134AC" w:rsidP="00E134AC">
      <w:pPr>
        <w:spacing w:after="160" w:line="360" w:lineRule="auto"/>
        <w:ind w:left="425" w:hanging="425"/>
        <w:contextualSpacing/>
        <w:jc w:val="both"/>
        <w:rPr>
          <w:rFonts w:ascii="FrankRuehl" w:hAnsi="FrankRuehl" w:cs="FrankRuehl"/>
          <w:noProof w:val="0"/>
          <w:sz w:val="28"/>
          <w:szCs w:val="28"/>
          <w:rtl/>
        </w:rPr>
      </w:pPr>
    </w:p>
    <w:p w:rsidR="00E134AC" w:rsidRDefault="00E134AC" w:rsidP="00E134AC">
      <w:pPr>
        <w:spacing w:after="160" w:line="360" w:lineRule="auto"/>
        <w:ind w:left="425" w:hanging="425"/>
        <w:contextualSpacing/>
        <w:jc w:val="both"/>
        <w:rPr>
          <w:rFonts w:ascii="FrankRuehl" w:hAnsi="FrankRuehl" w:cs="FrankRuehl"/>
          <w:sz w:val="28"/>
          <w:szCs w:val="28"/>
          <w:rtl/>
        </w:rPr>
      </w:pPr>
      <w:r>
        <w:rPr>
          <w:rFonts w:ascii="FrankRuehl" w:hAnsi="FrankRuehl" w:cs="FrankRuehl" w:hint="cs"/>
          <w:noProof w:val="0"/>
          <w:sz w:val="28"/>
          <w:szCs w:val="28"/>
          <w:rtl/>
        </w:rPr>
        <w:t>10.</w:t>
      </w:r>
      <w:r>
        <w:rPr>
          <w:rFonts w:ascii="FrankRuehl" w:hAnsi="FrankRuehl" w:cs="FrankRuehl" w:hint="cs"/>
          <w:noProof w:val="0"/>
          <w:sz w:val="28"/>
          <w:szCs w:val="28"/>
          <w:rtl/>
        </w:rPr>
        <w:tab/>
      </w:r>
      <w:r w:rsidR="007402F4">
        <w:rPr>
          <w:rFonts w:ascii="FrankRuehl" w:hAnsi="FrankRuehl" w:cs="FrankRuehl" w:hint="cs"/>
          <w:noProof w:val="0"/>
          <w:sz w:val="28"/>
          <w:szCs w:val="28"/>
          <w:rtl/>
        </w:rPr>
        <w:t xml:space="preserve">בהתאם לסעיף 3 לחוק לתיקון דיני משפחה (מזונות) התשי"ט-1959, אדם חב במזונות ילדיו הקטינים </w:t>
      </w:r>
      <w:r w:rsidR="00327FA9">
        <w:rPr>
          <w:rFonts w:ascii="FrankRuehl" w:hAnsi="FrankRuehl" w:cs="FrankRuehl" w:hint="cs"/>
          <w:noProof w:val="0"/>
          <w:sz w:val="28"/>
          <w:szCs w:val="28"/>
          <w:rtl/>
        </w:rPr>
        <w:t xml:space="preserve">ובמזונות בן זוגו, </w:t>
      </w:r>
      <w:r w:rsidR="007402F4">
        <w:rPr>
          <w:rFonts w:ascii="FrankRuehl" w:hAnsi="FrankRuehl" w:cs="FrankRuehl" w:hint="cs"/>
          <w:noProof w:val="0"/>
          <w:sz w:val="28"/>
          <w:szCs w:val="28"/>
          <w:rtl/>
        </w:rPr>
        <w:t>על פי הדין האישי החל עליו.</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E134AC">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11.</w:t>
      </w:r>
      <w:r>
        <w:rPr>
          <w:rFonts w:ascii="FrankRuehl" w:hAnsi="FrankRuehl" w:cs="FrankRuehl" w:hint="cs"/>
          <w:sz w:val="28"/>
          <w:szCs w:val="28"/>
          <w:rtl/>
        </w:rPr>
        <w:tab/>
      </w:r>
      <w:r w:rsidR="00DF1D7B">
        <w:rPr>
          <w:rFonts w:ascii="FrankRuehl" w:hAnsi="FrankRuehl" w:cs="FrankRuehl"/>
          <w:sz w:val="28"/>
          <w:szCs w:val="28"/>
          <w:rtl/>
        </w:rPr>
        <w:t>מאחר והצדדים בני הזוג משתייכים לעדה הדרוזית, הדין האישי הוא הדין הדרוזי המעוגן בחוק המעמד האישי לעדה הדרוזית בישראל</w:t>
      </w:r>
      <w:r w:rsidR="004A7CE0">
        <w:rPr>
          <w:rFonts w:ascii="FrankRuehl" w:hAnsi="FrankRuehl" w:cs="FrankRuehl" w:hint="cs"/>
          <w:sz w:val="28"/>
          <w:szCs w:val="28"/>
          <w:rtl/>
        </w:rPr>
        <w:t>.</w:t>
      </w:r>
      <w:r w:rsidR="002C05A9" w:rsidRPr="002C05A9">
        <w:rPr>
          <w:rFonts w:ascii="FrankRuehl" w:hAnsi="FrankRuehl" w:cs="FrankRuehl"/>
          <w:sz w:val="28"/>
          <w:szCs w:val="28"/>
          <w:rtl/>
        </w:rPr>
        <w:t xml:space="preserve"> </w:t>
      </w:r>
      <w:r w:rsidR="002C05A9">
        <w:rPr>
          <w:rFonts w:ascii="FrankRuehl" w:hAnsi="FrankRuehl" w:cs="FrankRuehl"/>
          <w:sz w:val="28"/>
          <w:szCs w:val="28"/>
          <w:rtl/>
        </w:rPr>
        <w:t>ראו אשנב למשפט הדרוזי ומדריך לדיני המעמד האישי בעדה הדרוזית (בשפה העברית), עמוד 255.</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2A7C7F" w:rsidRDefault="00E134AC" w:rsidP="00E134AC">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12.</w:t>
      </w:r>
      <w:r>
        <w:rPr>
          <w:rFonts w:ascii="FrankRuehl" w:hAnsi="FrankRuehl" w:cs="FrankRuehl" w:hint="cs"/>
          <w:sz w:val="28"/>
          <w:szCs w:val="28"/>
          <w:rtl/>
        </w:rPr>
        <w:tab/>
      </w:r>
      <w:r w:rsidR="004A7CE0">
        <w:rPr>
          <w:rFonts w:ascii="FrankRuehl" w:hAnsi="FrankRuehl" w:cs="FrankRuehl" w:hint="cs"/>
          <w:sz w:val="28"/>
          <w:szCs w:val="28"/>
          <w:rtl/>
        </w:rPr>
        <w:t xml:space="preserve">בעניין מזונות הקטינה, </w:t>
      </w:r>
      <w:r w:rsidR="002A7C7F">
        <w:rPr>
          <w:rFonts w:ascii="FrankRuehl" w:hAnsi="FrankRuehl" w:cs="FrankRuehl"/>
          <w:sz w:val="28"/>
          <w:szCs w:val="28"/>
          <w:rtl/>
        </w:rPr>
        <w:t xml:space="preserve">רלוונטי לעניינו הפרק העשירי </w:t>
      </w:r>
      <w:r w:rsidR="004A7CE0">
        <w:rPr>
          <w:rFonts w:ascii="FrankRuehl" w:hAnsi="FrankRuehl" w:cs="FrankRuehl" w:hint="cs"/>
          <w:sz w:val="28"/>
          <w:szCs w:val="28"/>
          <w:rtl/>
        </w:rPr>
        <w:t xml:space="preserve">בחוק המעמד האישי לעדה הדרוזית בישראל, </w:t>
      </w:r>
      <w:r w:rsidR="002A7C7F">
        <w:rPr>
          <w:rFonts w:ascii="FrankRuehl" w:hAnsi="FrankRuehl" w:cs="FrankRuehl"/>
          <w:sz w:val="28"/>
          <w:szCs w:val="28"/>
          <w:rtl/>
        </w:rPr>
        <w:t xml:space="preserve">שכותרתו </w:t>
      </w:r>
      <w:r w:rsidR="002A7C7F" w:rsidRPr="00C06732">
        <w:rPr>
          <w:rFonts w:ascii="Miriam" w:hAnsi="Miriam" w:cs="Miriam"/>
          <w:sz w:val="22"/>
          <w:szCs w:val="22"/>
          <w:rtl/>
        </w:rPr>
        <w:t>"דמי המזונות המוטלים על האבות לטובת הבנים</w:t>
      </w:r>
      <w:r w:rsidR="002A7C7F">
        <w:rPr>
          <w:rFonts w:ascii="Miriam" w:hAnsi="Miriam" w:cs="Miriam"/>
          <w:rtl/>
        </w:rPr>
        <w:t>"</w:t>
      </w:r>
      <w:r w:rsidR="002C05A9">
        <w:rPr>
          <w:rFonts w:ascii="FrankRuehl" w:hAnsi="FrankRuehl" w:cs="FrankRuehl" w:hint="cs"/>
          <w:sz w:val="28"/>
          <w:szCs w:val="28"/>
          <w:rtl/>
        </w:rPr>
        <w:t xml:space="preserve">, </w:t>
      </w:r>
      <w:r w:rsidR="002C05A9">
        <w:rPr>
          <w:rFonts w:ascii="FrankRuehl" w:hAnsi="FrankRuehl" w:cs="FrankRuehl"/>
          <w:sz w:val="28"/>
          <w:szCs w:val="28"/>
          <w:rtl/>
        </w:rPr>
        <w:t>סעיפים 67-70</w:t>
      </w:r>
      <w:r w:rsidR="002C05A9">
        <w:rPr>
          <w:rFonts w:ascii="FrankRuehl" w:hAnsi="FrankRuehl" w:cs="FrankRuehl" w:hint="cs"/>
          <w:sz w:val="28"/>
          <w:szCs w:val="28"/>
          <w:rtl/>
        </w:rPr>
        <w:t xml:space="preserve"> שתמציתם:</w:t>
      </w:r>
    </w:p>
    <w:p w:rsidR="002A7C7F" w:rsidRDefault="002A7C7F" w:rsidP="002A7C7F">
      <w:pPr>
        <w:spacing w:line="360" w:lineRule="auto"/>
        <w:ind w:left="360" w:hanging="360"/>
        <w:jc w:val="both"/>
        <w:rPr>
          <w:rFonts w:ascii="FrankRuehl" w:hAnsi="FrankRuehl" w:cs="FrankRuehl"/>
          <w:noProof w:val="0"/>
          <w:sz w:val="28"/>
          <w:szCs w:val="28"/>
          <w:rtl/>
        </w:rPr>
      </w:pPr>
    </w:p>
    <w:p w:rsidR="002A7C7F" w:rsidRPr="00C06732" w:rsidRDefault="00DF1D7B" w:rsidP="00E134AC">
      <w:pPr>
        <w:spacing w:line="360" w:lineRule="auto"/>
        <w:ind w:left="1145" w:hanging="720"/>
        <w:jc w:val="both"/>
        <w:rPr>
          <w:rFonts w:ascii="Miriam" w:hAnsi="Miriam" w:cs="Miriam"/>
          <w:rtl/>
        </w:rPr>
      </w:pPr>
      <w:r>
        <w:rPr>
          <w:rFonts w:ascii="FrankRuehl" w:hAnsi="FrankRuehl" w:cs="FrankRuehl" w:hint="cs"/>
          <w:sz w:val="28"/>
          <w:szCs w:val="28"/>
          <w:rtl/>
        </w:rPr>
        <w:t>1</w:t>
      </w:r>
      <w:r w:rsidR="00E134AC">
        <w:rPr>
          <w:rFonts w:ascii="FrankRuehl" w:hAnsi="FrankRuehl" w:cs="FrankRuehl" w:hint="cs"/>
          <w:sz w:val="28"/>
          <w:szCs w:val="28"/>
          <w:rtl/>
        </w:rPr>
        <w:t>2</w:t>
      </w:r>
      <w:r w:rsidR="002A7C7F">
        <w:rPr>
          <w:rFonts w:ascii="FrankRuehl" w:hAnsi="FrankRuehl" w:cs="FrankRuehl"/>
          <w:sz w:val="28"/>
          <w:szCs w:val="28"/>
          <w:rtl/>
        </w:rPr>
        <w:t>.1.</w:t>
      </w:r>
      <w:r w:rsidR="002A7C7F">
        <w:rPr>
          <w:rFonts w:ascii="FrankRuehl" w:hAnsi="FrankRuehl" w:cs="FrankRuehl"/>
          <w:sz w:val="28"/>
          <w:szCs w:val="28"/>
          <w:rtl/>
        </w:rPr>
        <w:tab/>
      </w:r>
      <w:r w:rsidR="002A7C7F" w:rsidRPr="00C06732">
        <w:rPr>
          <w:rFonts w:ascii="FrankRuehl" w:hAnsi="FrankRuehl" w:cs="FrankRuehl"/>
          <w:sz w:val="28"/>
          <w:szCs w:val="28"/>
          <w:u w:val="single"/>
          <w:rtl/>
        </w:rPr>
        <w:t>סעיף 67</w:t>
      </w:r>
      <w:r w:rsidR="002A7C7F" w:rsidRPr="00C06732">
        <w:rPr>
          <w:rFonts w:ascii="FrankRuehl" w:hAnsi="FrankRuehl" w:cs="FrankRuehl"/>
          <w:sz w:val="28"/>
          <w:szCs w:val="28"/>
          <w:rtl/>
        </w:rPr>
        <w:t xml:space="preserve"> לחוק קובע את חובת האב בכל מזונות הקטינים, לבניו עד שיפרנסו עצמם, ולבנותיו עד שתינשאנה:</w:t>
      </w:r>
      <w:r w:rsidR="002A7C7F" w:rsidRPr="00C06732">
        <w:rPr>
          <w:rFonts w:ascii="Miriam" w:hAnsi="Miriam" w:cs="Miriam"/>
          <w:rtl/>
        </w:rPr>
        <w:t xml:space="preserve"> "</w:t>
      </w:r>
      <w:r w:rsidR="002A7C7F" w:rsidRPr="00C06732">
        <w:rPr>
          <w:rFonts w:ascii="Miriam" w:hAnsi="Miriam" w:cs="Miriam"/>
          <w:sz w:val="22"/>
          <w:szCs w:val="22"/>
          <w:rtl/>
        </w:rPr>
        <w:t>האב חייב במזונות, על שלושת סוגיהם, לילדו הקטן והעני, בין זכר ובין נקבה</w:t>
      </w:r>
      <w:r w:rsidR="002A7C7F" w:rsidRPr="00C06732">
        <w:rPr>
          <w:rFonts w:ascii="Miriam" w:hAnsi="Miriam" w:cs="Miriam"/>
          <w:sz w:val="22"/>
          <w:szCs w:val="22"/>
        </w:rPr>
        <w:t>:</w:t>
      </w:r>
      <w:r w:rsidR="002A7C7F" w:rsidRPr="00C06732">
        <w:rPr>
          <w:rFonts w:ascii="Miriam" w:hAnsi="Miriam" w:cs="Miriam"/>
          <w:sz w:val="22"/>
          <w:szCs w:val="22"/>
          <w:rtl/>
        </w:rPr>
        <w:t xml:space="preserve"> ביחס לבן- עד אשר יגיע ליכולת לפרנס את עצמו, וביחס לבת- עד שתינשא</w:t>
      </w:r>
      <w:r w:rsidR="002A7C7F" w:rsidRPr="00C06732">
        <w:rPr>
          <w:rFonts w:ascii="Miriam" w:hAnsi="Miriam" w:cs="Miriam"/>
          <w:rtl/>
        </w:rPr>
        <w:t>".</w:t>
      </w:r>
    </w:p>
    <w:p w:rsidR="002A7C7F" w:rsidRPr="00C06732" w:rsidRDefault="00DF1D7B" w:rsidP="00E134AC">
      <w:pPr>
        <w:spacing w:line="360" w:lineRule="auto"/>
        <w:ind w:left="1145" w:hanging="720"/>
        <w:jc w:val="both"/>
        <w:rPr>
          <w:rFonts w:ascii="Miriam" w:hAnsi="Miriam" w:cs="Miriam"/>
          <w:rtl/>
        </w:rPr>
      </w:pPr>
      <w:r>
        <w:rPr>
          <w:rFonts w:ascii="FrankRuehl" w:hAnsi="FrankRuehl" w:cs="FrankRuehl" w:hint="cs"/>
          <w:sz w:val="28"/>
          <w:szCs w:val="28"/>
          <w:rtl/>
        </w:rPr>
        <w:t>1</w:t>
      </w:r>
      <w:r w:rsidR="00E134AC">
        <w:rPr>
          <w:rFonts w:ascii="FrankRuehl" w:hAnsi="FrankRuehl" w:cs="FrankRuehl" w:hint="cs"/>
          <w:sz w:val="28"/>
          <w:szCs w:val="28"/>
          <w:rtl/>
        </w:rPr>
        <w:t>2</w:t>
      </w:r>
      <w:r w:rsidR="002A7C7F" w:rsidRPr="00C06732">
        <w:rPr>
          <w:rFonts w:ascii="FrankRuehl" w:hAnsi="FrankRuehl" w:cs="FrankRuehl"/>
          <w:sz w:val="28"/>
          <w:szCs w:val="28"/>
          <w:rtl/>
        </w:rPr>
        <w:t>.2.</w:t>
      </w:r>
      <w:r w:rsidR="002A7C7F" w:rsidRPr="00C06732">
        <w:rPr>
          <w:rFonts w:ascii="FrankRuehl" w:hAnsi="FrankRuehl" w:cs="FrankRuehl"/>
          <w:sz w:val="28"/>
          <w:szCs w:val="28"/>
          <w:rtl/>
        </w:rPr>
        <w:tab/>
      </w:r>
      <w:r w:rsidR="002A7C7F" w:rsidRPr="00C06732">
        <w:rPr>
          <w:rFonts w:ascii="FrankRuehl" w:hAnsi="FrankRuehl" w:cs="FrankRuehl"/>
          <w:sz w:val="28"/>
          <w:szCs w:val="28"/>
          <w:u w:val="single"/>
          <w:rtl/>
        </w:rPr>
        <w:t>סעיף 68</w:t>
      </w:r>
      <w:r w:rsidR="002A7C7F" w:rsidRPr="00C06732">
        <w:rPr>
          <w:rFonts w:ascii="FrankRuehl" w:hAnsi="FrankRuehl" w:cs="FrankRuehl"/>
          <w:sz w:val="28"/>
          <w:szCs w:val="28"/>
          <w:rtl/>
        </w:rPr>
        <w:t xml:space="preserve"> לחוק קובע חבות במזונות לגבי ילדים בגירים:</w:t>
      </w:r>
      <w:r w:rsidR="002A7C7F" w:rsidRPr="00C06732">
        <w:rPr>
          <w:rFonts w:ascii="Miriam" w:hAnsi="Miriam" w:cs="Miriam"/>
          <w:rtl/>
        </w:rPr>
        <w:t xml:space="preserve"> "</w:t>
      </w:r>
      <w:r w:rsidR="002A7C7F" w:rsidRPr="00C06732">
        <w:rPr>
          <w:rFonts w:ascii="Miriam" w:hAnsi="Miriam" w:cs="Miriam"/>
          <w:sz w:val="22"/>
          <w:szCs w:val="22"/>
          <w:rtl/>
        </w:rPr>
        <w:t>האב חייב בדמי מזונות, על שלושת סוגיהם, לילד הגדול והעני שאינו מסוגל להתפרנס מחמת מום המונע ממנו להתפרנס, וכן בדמי מזונותיה של הילדה הגדולה הענייה, כל עוד שהיא אינה נשואה</w:t>
      </w:r>
      <w:r w:rsidR="002A7C7F" w:rsidRPr="00C06732">
        <w:rPr>
          <w:rFonts w:ascii="Miriam" w:hAnsi="Miriam" w:cs="Miriam"/>
          <w:rtl/>
        </w:rPr>
        <w:t>".</w:t>
      </w:r>
    </w:p>
    <w:p w:rsidR="002A7C7F" w:rsidRPr="00C06732" w:rsidRDefault="00DF1D7B" w:rsidP="00E134AC">
      <w:pPr>
        <w:spacing w:line="360" w:lineRule="auto"/>
        <w:ind w:left="1145" w:hanging="720"/>
        <w:jc w:val="both"/>
        <w:rPr>
          <w:rFonts w:ascii="Miriam" w:hAnsi="Miriam" w:cs="Miriam"/>
          <w:rtl/>
        </w:rPr>
      </w:pPr>
      <w:r>
        <w:rPr>
          <w:rFonts w:ascii="FrankRuehl" w:hAnsi="FrankRuehl" w:cs="FrankRuehl" w:hint="cs"/>
          <w:sz w:val="28"/>
          <w:szCs w:val="28"/>
          <w:rtl/>
        </w:rPr>
        <w:t>1</w:t>
      </w:r>
      <w:r w:rsidR="00E134AC">
        <w:rPr>
          <w:rFonts w:ascii="FrankRuehl" w:hAnsi="FrankRuehl" w:cs="FrankRuehl" w:hint="cs"/>
          <w:sz w:val="28"/>
          <w:szCs w:val="28"/>
          <w:rtl/>
        </w:rPr>
        <w:t>2</w:t>
      </w:r>
      <w:r w:rsidR="002A7C7F" w:rsidRPr="00C06732">
        <w:rPr>
          <w:rFonts w:ascii="FrankRuehl" w:hAnsi="FrankRuehl" w:cs="FrankRuehl"/>
          <w:sz w:val="28"/>
          <w:szCs w:val="28"/>
          <w:rtl/>
        </w:rPr>
        <w:t>.3.</w:t>
      </w:r>
      <w:r w:rsidR="002A7C7F" w:rsidRPr="00C06732">
        <w:rPr>
          <w:rFonts w:ascii="FrankRuehl" w:hAnsi="FrankRuehl" w:cs="FrankRuehl"/>
          <w:sz w:val="28"/>
          <w:szCs w:val="28"/>
          <w:rtl/>
        </w:rPr>
        <w:tab/>
      </w:r>
      <w:r w:rsidR="002A7C7F" w:rsidRPr="00C06732">
        <w:rPr>
          <w:rFonts w:ascii="FrankRuehl" w:hAnsi="FrankRuehl" w:cs="FrankRuehl"/>
          <w:sz w:val="28"/>
          <w:szCs w:val="28"/>
          <w:u w:val="single"/>
          <w:rtl/>
        </w:rPr>
        <w:t>סעיף 69</w:t>
      </w:r>
      <w:r w:rsidR="002A7C7F" w:rsidRPr="00C06732">
        <w:rPr>
          <w:rFonts w:ascii="FrankRuehl" w:hAnsi="FrankRuehl" w:cs="FrankRuehl"/>
          <w:sz w:val="28"/>
          <w:szCs w:val="28"/>
          <w:rtl/>
        </w:rPr>
        <w:t xml:space="preserve"> לחוק קובע כי החובה מוטלת על האב בלבד, אלא אם הוא חסר אמצעים ואינו יכול לפרנס עצמו: </w:t>
      </w:r>
      <w:r w:rsidR="002A7C7F" w:rsidRPr="00C06732">
        <w:rPr>
          <w:rFonts w:ascii="Miriam" w:hAnsi="Miriam" w:cs="Miriam"/>
          <w:rtl/>
        </w:rPr>
        <w:t>"</w:t>
      </w:r>
      <w:r w:rsidR="002A7C7F" w:rsidRPr="00C06732">
        <w:rPr>
          <w:rFonts w:ascii="Miriam" w:hAnsi="Miriam" w:cs="Miriam"/>
          <w:sz w:val="22"/>
          <w:szCs w:val="22"/>
          <w:rtl/>
        </w:rPr>
        <w:t>אין איש משתתף במזונות הילד החלים על אביו, אלא אם כן האב חסר אמצעים ונבצר ממנו לפרנס את עצמו שאז הוא חשוב כמת ואין חובת המזונות חלה עליו</w:t>
      </w:r>
      <w:r w:rsidR="002A7C7F" w:rsidRPr="00C06732">
        <w:rPr>
          <w:rFonts w:ascii="Miriam" w:hAnsi="Miriam" w:cs="Miriam"/>
          <w:sz w:val="22"/>
          <w:szCs w:val="22"/>
        </w:rPr>
        <w:t>:</w:t>
      </w:r>
      <w:r w:rsidR="002A7C7F" w:rsidRPr="00C06732">
        <w:rPr>
          <w:rFonts w:ascii="Miriam" w:hAnsi="Miriam" w:cs="Miriam"/>
          <w:sz w:val="22"/>
          <w:szCs w:val="22"/>
          <w:rtl/>
        </w:rPr>
        <w:t xml:space="preserve"> חובת המזונות תחול אז על מי שחייב במזונותיו בהעדר אב</w:t>
      </w:r>
      <w:r w:rsidR="002A7C7F" w:rsidRPr="00C06732">
        <w:rPr>
          <w:rFonts w:ascii="Miriam" w:hAnsi="Miriam" w:cs="Miriam"/>
          <w:rtl/>
        </w:rPr>
        <w:t>".</w:t>
      </w:r>
    </w:p>
    <w:p w:rsidR="002A7C7F" w:rsidRDefault="00DF1D7B" w:rsidP="00E134AC">
      <w:pPr>
        <w:spacing w:line="360" w:lineRule="auto"/>
        <w:ind w:left="1145" w:hanging="720"/>
        <w:jc w:val="both"/>
        <w:rPr>
          <w:rFonts w:ascii="Miriam" w:hAnsi="Miriam" w:cs="Miriam"/>
          <w:rtl/>
        </w:rPr>
      </w:pPr>
      <w:r>
        <w:rPr>
          <w:rFonts w:ascii="FrankRuehl" w:hAnsi="FrankRuehl" w:cs="FrankRuehl" w:hint="cs"/>
          <w:sz w:val="28"/>
          <w:szCs w:val="28"/>
          <w:rtl/>
        </w:rPr>
        <w:t>1</w:t>
      </w:r>
      <w:r w:rsidR="00E134AC">
        <w:rPr>
          <w:rFonts w:ascii="FrankRuehl" w:hAnsi="FrankRuehl" w:cs="FrankRuehl" w:hint="cs"/>
          <w:sz w:val="28"/>
          <w:szCs w:val="28"/>
          <w:rtl/>
        </w:rPr>
        <w:t>2</w:t>
      </w:r>
      <w:r w:rsidR="002A7C7F" w:rsidRPr="00C06732">
        <w:rPr>
          <w:rFonts w:ascii="FrankRuehl" w:hAnsi="FrankRuehl" w:cs="FrankRuehl"/>
          <w:sz w:val="28"/>
          <w:szCs w:val="28"/>
          <w:rtl/>
        </w:rPr>
        <w:t>.4.</w:t>
      </w:r>
      <w:r w:rsidR="002A7C7F" w:rsidRPr="00C06732">
        <w:rPr>
          <w:rFonts w:ascii="FrankRuehl" w:hAnsi="FrankRuehl" w:cs="FrankRuehl"/>
          <w:sz w:val="28"/>
          <w:szCs w:val="28"/>
          <w:rtl/>
        </w:rPr>
        <w:tab/>
      </w:r>
      <w:r w:rsidR="002A7C7F" w:rsidRPr="00C06732">
        <w:rPr>
          <w:rFonts w:ascii="FrankRuehl" w:hAnsi="FrankRuehl" w:cs="FrankRuehl"/>
          <w:sz w:val="28"/>
          <w:szCs w:val="28"/>
          <w:u w:val="single"/>
          <w:rtl/>
        </w:rPr>
        <w:t>סעיף 70</w:t>
      </w:r>
      <w:r w:rsidR="002A7C7F" w:rsidRPr="00C06732">
        <w:rPr>
          <w:rFonts w:ascii="FrankRuehl" w:hAnsi="FrankRuehl" w:cs="FrankRuehl"/>
          <w:sz w:val="28"/>
          <w:szCs w:val="28"/>
          <w:rtl/>
        </w:rPr>
        <w:t xml:space="preserve"> לחוק מוסיף על כך וקובע כי במצב בו האב חסר אמצעים, מוטלת חובה גם על הא</w:t>
      </w:r>
      <w:r w:rsidR="00C06732">
        <w:rPr>
          <w:rFonts w:ascii="FrankRuehl" w:hAnsi="FrankRuehl" w:cs="FrankRuehl" w:hint="cs"/>
          <w:sz w:val="28"/>
          <w:szCs w:val="28"/>
          <w:rtl/>
        </w:rPr>
        <w:t>ֵ</w:t>
      </w:r>
      <w:r w:rsidR="002A7C7F" w:rsidRPr="00C06732">
        <w:rPr>
          <w:rFonts w:ascii="FrankRuehl" w:hAnsi="FrankRuehl" w:cs="FrankRuehl"/>
          <w:sz w:val="28"/>
          <w:szCs w:val="28"/>
          <w:rtl/>
        </w:rPr>
        <w:t>ם</w:t>
      </w:r>
      <w:r w:rsidR="002A7C7F" w:rsidRPr="00C77D1D">
        <w:rPr>
          <w:rFonts w:ascii="FrankRuehl" w:hAnsi="FrankRuehl" w:cs="FrankRuehl"/>
          <w:sz w:val="28"/>
          <w:szCs w:val="28"/>
          <w:rtl/>
        </w:rPr>
        <w:t xml:space="preserve">: </w:t>
      </w:r>
      <w:r w:rsidR="002A7C7F" w:rsidRPr="00C77D1D">
        <w:rPr>
          <w:rFonts w:ascii="Miriam" w:hAnsi="Miriam" w:cs="Miriam"/>
          <w:rtl/>
        </w:rPr>
        <w:t>"</w:t>
      </w:r>
      <w:r w:rsidR="002A7C7F" w:rsidRPr="00C77D1D">
        <w:rPr>
          <w:rFonts w:ascii="Miriam" w:hAnsi="Miriam" w:cs="Miriam"/>
          <w:sz w:val="22"/>
          <w:szCs w:val="22"/>
          <w:rtl/>
        </w:rPr>
        <w:t>כאשר האב חסר אמצעים, חייבת האם, לפני כל קרוב אחר, במזונות ילדה. אם שני ההורים חסרי אמצעים, ויש להם ילדים הזכאים למזונות, מחייבים בהם את הקרוב ביותר בדרגה ביחס לילדים, ובלבד שיש לו אמצעים. הוצאותיו של הקרוב- בין שהוא האם, בין שהוא הסב או זולתם- הם בבחינת חוב של האב חסר האמצעים שניתן לתובעו ממנו כאשר ירווח לו</w:t>
      </w:r>
      <w:r w:rsidR="002A7C7F" w:rsidRPr="00C77D1D">
        <w:rPr>
          <w:rFonts w:ascii="Miriam" w:hAnsi="Miriam" w:cs="Miriam"/>
          <w:rtl/>
        </w:rPr>
        <w:t>".</w:t>
      </w:r>
    </w:p>
    <w:p w:rsidR="00E134AC" w:rsidRPr="00C77D1D" w:rsidRDefault="00E134AC" w:rsidP="00E134AC">
      <w:pPr>
        <w:spacing w:line="360" w:lineRule="auto"/>
        <w:ind w:left="1440" w:hanging="720"/>
        <w:jc w:val="both"/>
        <w:rPr>
          <w:rFonts w:ascii="Miriam" w:hAnsi="Miriam" w:cs="Miriam"/>
          <w:rtl/>
        </w:rPr>
      </w:pPr>
    </w:p>
    <w:p w:rsidR="00B0261E" w:rsidRDefault="00E134AC" w:rsidP="003B40E7">
      <w:pPr>
        <w:spacing w:after="160" w:line="360" w:lineRule="auto"/>
        <w:ind w:left="425" w:hanging="425"/>
        <w:contextualSpacing/>
        <w:jc w:val="both"/>
        <w:rPr>
          <w:rFonts w:ascii="FrankRuehl" w:hAnsi="FrankRuehl" w:cs="FrankRuehl"/>
          <w:sz w:val="28"/>
          <w:szCs w:val="28"/>
          <w:rtl/>
        </w:rPr>
      </w:pPr>
      <w:r>
        <w:rPr>
          <w:rFonts w:ascii="FrankRuehl" w:hAnsi="FrankRuehl" w:cs="FrankRuehl" w:hint="cs"/>
          <w:noProof w:val="0"/>
          <w:sz w:val="28"/>
          <w:szCs w:val="28"/>
          <w:rtl/>
        </w:rPr>
        <w:t>13.</w:t>
      </w:r>
      <w:r>
        <w:rPr>
          <w:rFonts w:ascii="FrankRuehl" w:hAnsi="FrankRuehl" w:cs="FrankRuehl" w:hint="cs"/>
          <w:noProof w:val="0"/>
          <w:sz w:val="28"/>
          <w:szCs w:val="28"/>
          <w:rtl/>
        </w:rPr>
        <w:tab/>
      </w:r>
      <w:r w:rsidR="002A7C7F">
        <w:rPr>
          <w:rFonts w:ascii="FrankRuehl" w:hAnsi="FrankRuehl" w:cs="FrankRuehl" w:hint="cs"/>
          <w:noProof w:val="0"/>
          <w:sz w:val="28"/>
          <w:szCs w:val="28"/>
          <w:rtl/>
        </w:rPr>
        <w:t>אשר למזונות האיש</w:t>
      </w:r>
      <w:r w:rsidR="00B0261E">
        <w:rPr>
          <w:rFonts w:ascii="FrankRuehl" w:hAnsi="FrankRuehl" w:cs="FrankRuehl" w:hint="cs"/>
          <w:noProof w:val="0"/>
          <w:sz w:val="28"/>
          <w:szCs w:val="28"/>
          <w:rtl/>
        </w:rPr>
        <w:t>ה, רלוונטי לענייננו הפרק השישי</w:t>
      </w:r>
      <w:r w:rsidR="002C05A9">
        <w:rPr>
          <w:rFonts w:ascii="FrankRuehl" w:hAnsi="FrankRuehl" w:cs="FrankRuehl" w:hint="cs"/>
          <w:noProof w:val="0"/>
          <w:sz w:val="28"/>
          <w:szCs w:val="28"/>
          <w:rtl/>
        </w:rPr>
        <w:t xml:space="preserve"> שכותרתו</w:t>
      </w:r>
      <w:r w:rsidR="003B40E7">
        <w:rPr>
          <w:rFonts w:ascii="FrankRuehl" w:hAnsi="FrankRuehl" w:cs="FrankRuehl" w:hint="cs"/>
          <w:noProof w:val="0"/>
          <w:sz w:val="28"/>
          <w:szCs w:val="28"/>
          <w:rtl/>
        </w:rPr>
        <w:t xml:space="preserve"> "המזונות",</w:t>
      </w:r>
      <w:r w:rsidR="002C05A9">
        <w:rPr>
          <w:rFonts w:ascii="FrankRuehl" w:hAnsi="FrankRuehl" w:cs="FrankRuehl" w:hint="cs"/>
          <w:noProof w:val="0"/>
          <w:sz w:val="28"/>
          <w:szCs w:val="28"/>
          <w:rtl/>
        </w:rPr>
        <w:t xml:space="preserve"> סעיפים 28,30,31,36 </w:t>
      </w:r>
      <w:r w:rsidR="002C05A9" w:rsidRPr="003B40E7">
        <w:rPr>
          <w:rFonts w:ascii="FrankRuehl" w:hAnsi="FrankRuehl" w:cs="FrankRuehl" w:hint="cs"/>
          <w:noProof w:val="0"/>
          <w:sz w:val="28"/>
          <w:szCs w:val="28"/>
          <w:rtl/>
        </w:rPr>
        <w:t>שתמציתם</w:t>
      </w:r>
      <w:r w:rsidR="002A7C7F">
        <w:rPr>
          <w:rFonts w:ascii="FrankRuehl" w:hAnsi="FrankRuehl" w:cs="FrankRuehl" w:hint="cs"/>
          <w:noProof w:val="0"/>
          <w:sz w:val="28"/>
          <w:szCs w:val="28"/>
          <w:rtl/>
        </w:rPr>
        <w:t>:</w:t>
      </w:r>
      <w:r w:rsidR="00B0261E">
        <w:rPr>
          <w:rFonts w:ascii="FrankRuehl" w:hAnsi="FrankRuehl" w:cs="FrankRuehl" w:hint="cs"/>
          <w:noProof w:val="0"/>
          <w:sz w:val="28"/>
          <w:szCs w:val="28"/>
          <w:rtl/>
        </w:rPr>
        <w:t xml:space="preserve"> </w:t>
      </w:r>
    </w:p>
    <w:p w:rsidR="00B0261E" w:rsidRDefault="00B0261E" w:rsidP="00B0261E">
      <w:pPr>
        <w:spacing w:line="360" w:lineRule="auto"/>
        <w:ind w:left="720" w:hanging="720"/>
        <w:jc w:val="both"/>
        <w:rPr>
          <w:rFonts w:ascii="FrankRuehl" w:hAnsi="FrankRuehl" w:cs="FrankRuehl"/>
          <w:noProof w:val="0"/>
          <w:sz w:val="28"/>
          <w:szCs w:val="28"/>
          <w:rtl/>
        </w:rPr>
      </w:pPr>
    </w:p>
    <w:p w:rsidR="002A7C7F" w:rsidRPr="00B0261E" w:rsidRDefault="00C06732" w:rsidP="007A2BAC">
      <w:pPr>
        <w:spacing w:line="360" w:lineRule="auto"/>
        <w:ind w:left="1145" w:hanging="720"/>
        <w:jc w:val="both"/>
        <w:rPr>
          <w:rFonts w:ascii="FrankRuehl" w:hAnsi="FrankRuehl" w:cs="FrankRuehl"/>
          <w:noProof w:val="0"/>
          <w:sz w:val="28"/>
          <w:szCs w:val="28"/>
          <w:rtl/>
        </w:rPr>
      </w:pPr>
      <w:r w:rsidRPr="00C06732">
        <w:rPr>
          <w:rFonts w:ascii="FrankRuehl" w:hAnsi="FrankRuehl" w:cs="FrankRuehl" w:hint="cs"/>
          <w:noProof w:val="0"/>
          <w:sz w:val="28"/>
          <w:szCs w:val="28"/>
          <w:rtl/>
        </w:rPr>
        <w:t>1</w:t>
      </w:r>
      <w:r w:rsidR="007A2BAC">
        <w:rPr>
          <w:rFonts w:ascii="FrankRuehl" w:hAnsi="FrankRuehl" w:cs="FrankRuehl" w:hint="cs"/>
          <w:noProof w:val="0"/>
          <w:sz w:val="28"/>
          <w:szCs w:val="28"/>
          <w:rtl/>
        </w:rPr>
        <w:t>3</w:t>
      </w:r>
      <w:r w:rsidRPr="00C06732">
        <w:rPr>
          <w:rFonts w:ascii="FrankRuehl" w:hAnsi="FrankRuehl" w:cs="FrankRuehl" w:hint="cs"/>
          <w:noProof w:val="0"/>
          <w:sz w:val="28"/>
          <w:szCs w:val="28"/>
          <w:rtl/>
        </w:rPr>
        <w:t xml:space="preserve">.1 </w:t>
      </w:r>
      <w:r w:rsidRPr="00C06732">
        <w:rPr>
          <w:rFonts w:ascii="FrankRuehl" w:hAnsi="FrankRuehl" w:cs="FrankRuehl" w:hint="cs"/>
          <w:noProof w:val="0"/>
          <w:sz w:val="28"/>
          <w:szCs w:val="28"/>
          <w:rtl/>
        </w:rPr>
        <w:tab/>
      </w:r>
      <w:r w:rsidR="00B0261E" w:rsidRPr="00B0261E">
        <w:rPr>
          <w:rFonts w:ascii="FrankRuehl" w:hAnsi="FrankRuehl" w:cs="FrankRuehl" w:hint="cs"/>
          <w:noProof w:val="0"/>
          <w:sz w:val="28"/>
          <w:szCs w:val="28"/>
          <w:u w:val="single"/>
          <w:rtl/>
        </w:rPr>
        <w:t>סעיף 28</w:t>
      </w:r>
      <w:r w:rsidR="00B0261E" w:rsidRPr="00C06732">
        <w:rPr>
          <w:rFonts w:ascii="FrankRuehl" w:hAnsi="FrankRuehl" w:cs="FrankRuehl" w:hint="cs"/>
          <w:noProof w:val="0"/>
          <w:sz w:val="28"/>
          <w:szCs w:val="28"/>
          <w:rtl/>
        </w:rPr>
        <w:t xml:space="preserve"> קובע</w:t>
      </w:r>
      <w:r w:rsidR="00B0261E" w:rsidRPr="00B0261E">
        <w:rPr>
          <w:rFonts w:ascii="FrankRuehl" w:hAnsi="FrankRuehl" w:cs="FrankRuehl" w:hint="cs"/>
          <w:noProof w:val="0"/>
          <w:sz w:val="28"/>
          <w:szCs w:val="28"/>
          <w:rtl/>
        </w:rPr>
        <w:t>:</w:t>
      </w:r>
      <w:r w:rsidR="00B0261E">
        <w:rPr>
          <w:rFonts w:ascii="FrankRuehl" w:hAnsi="FrankRuehl" w:cs="FrankRuehl" w:hint="cs"/>
          <w:noProof w:val="0"/>
          <w:rtl/>
        </w:rPr>
        <w:t xml:space="preserve"> </w:t>
      </w:r>
      <w:r w:rsidR="002A7C7F" w:rsidRPr="00B0261E">
        <w:rPr>
          <w:rFonts w:ascii="FrankRuehl" w:hAnsi="FrankRuehl" w:cs="FrankRuehl" w:hint="cs"/>
          <w:noProof w:val="0"/>
          <w:rtl/>
        </w:rPr>
        <w:t>"</w:t>
      </w:r>
      <w:r w:rsidR="002A7C7F" w:rsidRPr="00B0261E">
        <w:rPr>
          <w:rFonts w:ascii="FrankRuehl" w:hAnsi="FrankRuehl" w:cs="Miriam" w:hint="cs"/>
          <w:noProof w:val="0"/>
          <w:rtl/>
        </w:rPr>
        <w:t>מזונות הם ההוצאות שהבעל מוציא על בני משפחתו ואשתו, לרבות מזון, כסות, מגורים, ריפוי ושירות העוזרת הניתן לאישה בעלת כבוד או נכה או חולה</w:t>
      </w:r>
      <w:r w:rsidR="002A7C7F" w:rsidRPr="00B0261E">
        <w:rPr>
          <w:rFonts w:ascii="FrankRuehl" w:hAnsi="FrankRuehl" w:cs="FrankRuehl" w:hint="cs"/>
          <w:noProof w:val="0"/>
          <w:rtl/>
        </w:rPr>
        <w:t xml:space="preserve">". </w:t>
      </w:r>
    </w:p>
    <w:p w:rsidR="00B0261E" w:rsidRDefault="00C06732" w:rsidP="007A2BAC">
      <w:pPr>
        <w:spacing w:line="360" w:lineRule="auto"/>
        <w:ind w:left="1145" w:hanging="720"/>
        <w:jc w:val="both"/>
        <w:rPr>
          <w:rFonts w:ascii="FrankRuehl" w:hAnsi="FrankRuehl" w:cs="FrankRuehl"/>
          <w:noProof w:val="0"/>
          <w:sz w:val="28"/>
          <w:szCs w:val="28"/>
          <w:rtl/>
        </w:rPr>
      </w:pPr>
      <w:r w:rsidRPr="00C06732">
        <w:rPr>
          <w:rFonts w:ascii="FrankRuehl" w:hAnsi="FrankRuehl" w:cs="FrankRuehl" w:hint="cs"/>
          <w:noProof w:val="0"/>
          <w:sz w:val="28"/>
          <w:szCs w:val="28"/>
          <w:rtl/>
        </w:rPr>
        <w:t>1</w:t>
      </w:r>
      <w:r w:rsidR="007A2BAC">
        <w:rPr>
          <w:rFonts w:ascii="FrankRuehl" w:hAnsi="FrankRuehl" w:cs="FrankRuehl" w:hint="cs"/>
          <w:noProof w:val="0"/>
          <w:sz w:val="28"/>
          <w:szCs w:val="28"/>
          <w:rtl/>
        </w:rPr>
        <w:t>3</w:t>
      </w:r>
      <w:r w:rsidRPr="00C06732">
        <w:rPr>
          <w:rFonts w:ascii="FrankRuehl" w:hAnsi="FrankRuehl" w:cs="FrankRuehl" w:hint="cs"/>
          <w:noProof w:val="0"/>
          <w:sz w:val="28"/>
          <w:szCs w:val="28"/>
          <w:rtl/>
        </w:rPr>
        <w:t xml:space="preserve">.2 </w:t>
      </w:r>
      <w:r w:rsidRPr="00C06732">
        <w:rPr>
          <w:rFonts w:ascii="FrankRuehl" w:hAnsi="FrankRuehl" w:cs="FrankRuehl" w:hint="cs"/>
          <w:noProof w:val="0"/>
          <w:sz w:val="28"/>
          <w:szCs w:val="28"/>
          <w:rtl/>
        </w:rPr>
        <w:tab/>
      </w:r>
      <w:r w:rsidRPr="00C06732">
        <w:rPr>
          <w:rFonts w:ascii="FrankRuehl" w:hAnsi="FrankRuehl" w:cs="FrankRuehl" w:hint="cs"/>
          <w:noProof w:val="0"/>
          <w:sz w:val="28"/>
          <w:szCs w:val="28"/>
          <w:u w:val="single"/>
          <w:rtl/>
        </w:rPr>
        <w:t>סעיף 30</w:t>
      </w:r>
      <w:r w:rsidRPr="00C06732">
        <w:rPr>
          <w:rFonts w:ascii="FrankRuehl" w:hAnsi="FrankRuehl" w:cs="FrankRuehl" w:hint="cs"/>
          <w:noProof w:val="0"/>
          <w:sz w:val="28"/>
          <w:szCs w:val="28"/>
          <w:rtl/>
        </w:rPr>
        <w:t xml:space="preserve"> קובע</w:t>
      </w:r>
      <w:r>
        <w:rPr>
          <w:rFonts w:ascii="FrankRuehl" w:hAnsi="FrankRuehl" w:cs="FrankRuehl" w:hint="cs"/>
          <w:noProof w:val="0"/>
          <w:sz w:val="28"/>
          <w:szCs w:val="28"/>
          <w:rtl/>
        </w:rPr>
        <w:t xml:space="preserve">: </w:t>
      </w:r>
      <w:r w:rsidR="002A7C7F">
        <w:rPr>
          <w:rFonts w:ascii="FrankRuehl" w:hAnsi="FrankRuehl" w:cs="FrankRuehl" w:hint="cs"/>
          <w:noProof w:val="0"/>
          <w:sz w:val="28"/>
          <w:szCs w:val="28"/>
          <w:rtl/>
        </w:rPr>
        <w:t>"</w:t>
      </w:r>
      <w:r w:rsidR="002A7C7F" w:rsidRPr="00B0261E">
        <w:rPr>
          <w:rFonts w:ascii="FrankRuehl" w:hAnsi="FrankRuehl" w:cs="Miriam" w:hint="cs"/>
          <w:noProof w:val="0"/>
          <w:sz w:val="22"/>
          <w:szCs w:val="22"/>
          <w:rtl/>
        </w:rPr>
        <w:t>סרב הבעל הנוכח לזון את אשתו, יקבע הקאדי, על פי בקשתה, דמי מזונות לפי מצב הצדדים החל מיום הבקשה, והוא רשאי לצוות על מתן מקדמה עבור תקופה שתיקבע</w:t>
      </w:r>
      <w:r w:rsidR="002A7C7F">
        <w:rPr>
          <w:rFonts w:ascii="FrankRuehl" w:hAnsi="FrankRuehl" w:cs="FrankRuehl" w:hint="cs"/>
          <w:noProof w:val="0"/>
          <w:sz w:val="28"/>
          <w:szCs w:val="28"/>
          <w:rtl/>
        </w:rPr>
        <w:t xml:space="preserve">". </w:t>
      </w:r>
    </w:p>
    <w:p w:rsidR="00B0261E" w:rsidRDefault="00C06732" w:rsidP="007A2BAC">
      <w:pPr>
        <w:spacing w:line="360" w:lineRule="auto"/>
        <w:ind w:left="1145" w:hanging="720"/>
        <w:jc w:val="both"/>
        <w:rPr>
          <w:rFonts w:ascii="FrankRuehl" w:hAnsi="FrankRuehl" w:cs="FrankRuehl"/>
          <w:noProof w:val="0"/>
          <w:sz w:val="28"/>
          <w:szCs w:val="28"/>
          <w:rtl/>
        </w:rPr>
      </w:pPr>
      <w:r>
        <w:rPr>
          <w:rFonts w:ascii="FrankRuehl" w:hAnsi="FrankRuehl" w:cs="FrankRuehl" w:hint="cs"/>
          <w:noProof w:val="0"/>
          <w:sz w:val="28"/>
          <w:szCs w:val="28"/>
          <w:rtl/>
        </w:rPr>
        <w:t>1</w:t>
      </w:r>
      <w:r w:rsidR="007A2BAC">
        <w:rPr>
          <w:rFonts w:ascii="FrankRuehl" w:hAnsi="FrankRuehl" w:cs="FrankRuehl" w:hint="cs"/>
          <w:noProof w:val="0"/>
          <w:sz w:val="28"/>
          <w:szCs w:val="28"/>
          <w:rtl/>
        </w:rPr>
        <w:t>3</w:t>
      </w:r>
      <w:r>
        <w:rPr>
          <w:rFonts w:ascii="FrankRuehl" w:hAnsi="FrankRuehl" w:cs="FrankRuehl" w:hint="cs"/>
          <w:noProof w:val="0"/>
          <w:sz w:val="28"/>
          <w:szCs w:val="28"/>
          <w:rtl/>
        </w:rPr>
        <w:t>.3</w:t>
      </w:r>
      <w:r w:rsidR="00B0261E">
        <w:rPr>
          <w:rFonts w:ascii="FrankRuehl" w:hAnsi="FrankRuehl" w:cs="FrankRuehl" w:hint="cs"/>
          <w:noProof w:val="0"/>
          <w:sz w:val="28"/>
          <w:szCs w:val="28"/>
          <w:rtl/>
        </w:rPr>
        <w:t>.</w:t>
      </w:r>
      <w:r w:rsidR="00B0261E">
        <w:rPr>
          <w:rFonts w:ascii="FrankRuehl" w:hAnsi="FrankRuehl" w:cs="FrankRuehl" w:hint="cs"/>
          <w:noProof w:val="0"/>
          <w:sz w:val="28"/>
          <w:szCs w:val="28"/>
          <w:rtl/>
        </w:rPr>
        <w:tab/>
      </w:r>
      <w:r w:rsidRPr="00C06732">
        <w:rPr>
          <w:rFonts w:ascii="FrankRuehl" w:hAnsi="FrankRuehl" w:cs="FrankRuehl" w:hint="cs"/>
          <w:noProof w:val="0"/>
          <w:sz w:val="28"/>
          <w:szCs w:val="28"/>
          <w:u w:val="single"/>
          <w:rtl/>
        </w:rPr>
        <w:t>סעיף 31</w:t>
      </w:r>
      <w:r w:rsidRPr="00C06732">
        <w:rPr>
          <w:rFonts w:ascii="FrankRuehl" w:hAnsi="FrankRuehl" w:cs="FrankRuehl" w:hint="cs"/>
          <w:noProof w:val="0"/>
          <w:sz w:val="28"/>
          <w:szCs w:val="28"/>
          <w:rtl/>
        </w:rPr>
        <w:t xml:space="preserve"> קובע</w:t>
      </w:r>
      <w:r>
        <w:rPr>
          <w:rFonts w:ascii="FrankRuehl" w:hAnsi="FrankRuehl" w:cs="FrankRuehl" w:hint="cs"/>
          <w:noProof w:val="0"/>
          <w:sz w:val="28"/>
          <w:szCs w:val="28"/>
          <w:rtl/>
        </w:rPr>
        <w:t xml:space="preserve">: </w:t>
      </w:r>
      <w:r w:rsidR="00B0261E">
        <w:rPr>
          <w:rFonts w:ascii="FrankRuehl" w:hAnsi="FrankRuehl" w:cs="FrankRuehl" w:hint="cs"/>
          <w:noProof w:val="0"/>
          <w:sz w:val="28"/>
          <w:szCs w:val="28"/>
          <w:rtl/>
        </w:rPr>
        <w:t xml:space="preserve">במקרה </w:t>
      </w:r>
      <w:r>
        <w:rPr>
          <w:rFonts w:ascii="FrankRuehl" w:hAnsi="FrankRuehl" w:cs="FrankRuehl" w:hint="cs"/>
          <w:noProof w:val="0"/>
          <w:sz w:val="28"/>
          <w:szCs w:val="28"/>
          <w:rtl/>
        </w:rPr>
        <w:t xml:space="preserve">של בעל מחוסר אמצעים, </w:t>
      </w:r>
      <w:r w:rsidR="00B0261E">
        <w:rPr>
          <w:rFonts w:ascii="FrankRuehl" w:hAnsi="FrankRuehl" w:cs="FrankRuehl" w:hint="cs"/>
          <w:noProof w:val="0"/>
          <w:sz w:val="28"/>
          <w:szCs w:val="28"/>
          <w:rtl/>
        </w:rPr>
        <w:t>"</w:t>
      </w:r>
      <w:r w:rsidR="00B0261E" w:rsidRPr="00B0261E">
        <w:rPr>
          <w:rFonts w:ascii="FrankRuehl" w:hAnsi="FrankRuehl" w:cs="Miriam" w:hint="cs"/>
          <w:noProof w:val="0"/>
          <w:sz w:val="28"/>
          <w:szCs w:val="22"/>
          <w:rtl/>
        </w:rPr>
        <w:t>קצרה ידו של הבעל מלפרנס את אשתו, יקבע הקאדי, על פי בקשתה, דמי מזונות החל מיום הבקשה שייחשבו כחוב על הבעל, וירשה לאישה ללוות כספים בשמו של הבעל</w:t>
      </w:r>
      <w:r w:rsidR="00B0261E">
        <w:rPr>
          <w:rFonts w:ascii="FrankRuehl" w:hAnsi="FrankRuehl" w:cs="FrankRuehl" w:hint="cs"/>
          <w:noProof w:val="0"/>
          <w:sz w:val="28"/>
          <w:szCs w:val="28"/>
          <w:rtl/>
        </w:rPr>
        <w:t xml:space="preserve">". </w:t>
      </w:r>
    </w:p>
    <w:p w:rsidR="00694556" w:rsidRDefault="00C06732" w:rsidP="007A2BAC">
      <w:pPr>
        <w:spacing w:line="360" w:lineRule="auto"/>
        <w:ind w:left="1145" w:hanging="720"/>
        <w:jc w:val="both"/>
        <w:rPr>
          <w:rFonts w:ascii="FrankRuehl" w:hAnsi="FrankRuehl" w:cs="FrankRuehl"/>
          <w:noProof w:val="0"/>
          <w:sz w:val="28"/>
          <w:szCs w:val="28"/>
          <w:rtl/>
        </w:rPr>
      </w:pPr>
      <w:r>
        <w:rPr>
          <w:rFonts w:ascii="FrankRuehl" w:hAnsi="FrankRuehl" w:cs="FrankRuehl" w:hint="cs"/>
          <w:noProof w:val="0"/>
          <w:sz w:val="28"/>
          <w:szCs w:val="28"/>
          <w:rtl/>
        </w:rPr>
        <w:t>1</w:t>
      </w:r>
      <w:r w:rsidR="007A2BAC">
        <w:rPr>
          <w:rFonts w:ascii="FrankRuehl" w:hAnsi="FrankRuehl" w:cs="FrankRuehl" w:hint="cs"/>
          <w:noProof w:val="0"/>
          <w:sz w:val="28"/>
          <w:szCs w:val="28"/>
          <w:rtl/>
        </w:rPr>
        <w:t>3</w:t>
      </w:r>
      <w:r>
        <w:rPr>
          <w:rFonts w:ascii="FrankRuehl" w:hAnsi="FrankRuehl" w:cs="FrankRuehl" w:hint="cs"/>
          <w:noProof w:val="0"/>
          <w:sz w:val="28"/>
          <w:szCs w:val="28"/>
          <w:rtl/>
        </w:rPr>
        <w:t>.4</w:t>
      </w:r>
      <w:r w:rsidR="00B0261E">
        <w:rPr>
          <w:rFonts w:ascii="FrankRuehl" w:hAnsi="FrankRuehl" w:cs="FrankRuehl" w:hint="cs"/>
          <w:noProof w:val="0"/>
          <w:sz w:val="28"/>
          <w:szCs w:val="28"/>
          <w:rtl/>
        </w:rPr>
        <w:t>.</w:t>
      </w:r>
      <w:r w:rsidR="00B0261E">
        <w:rPr>
          <w:rFonts w:ascii="FrankRuehl" w:hAnsi="FrankRuehl" w:cs="FrankRuehl" w:hint="cs"/>
          <w:noProof w:val="0"/>
          <w:sz w:val="28"/>
          <w:szCs w:val="28"/>
          <w:rtl/>
        </w:rPr>
        <w:tab/>
      </w:r>
      <w:r w:rsidR="00B0261E" w:rsidRPr="00C06732">
        <w:rPr>
          <w:rFonts w:ascii="FrankRuehl" w:hAnsi="FrankRuehl" w:cs="FrankRuehl" w:hint="cs"/>
          <w:noProof w:val="0"/>
          <w:sz w:val="28"/>
          <w:szCs w:val="28"/>
          <w:u w:val="single"/>
          <w:rtl/>
        </w:rPr>
        <w:t xml:space="preserve">סעיף </w:t>
      </w:r>
      <w:r w:rsidRPr="00C06732">
        <w:rPr>
          <w:rFonts w:ascii="FrankRuehl" w:hAnsi="FrankRuehl" w:cs="FrankRuehl" w:hint="cs"/>
          <w:noProof w:val="0"/>
          <w:sz w:val="28"/>
          <w:szCs w:val="28"/>
          <w:u w:val="single"/>
          <w:rtl/>
        </w:rPr>
        <w:t>36</w:t>
      </w:r>
      <w:r w:rsidRPr="00C06732">
        <w:rPr>
          <w:rFonts w:ascii="FrankRuehl" w:hAnsi="FrankRuehl" w:cs="FrankRuehl" w:hint="cs"/>
          <w:noProof w:val="0"/>
          <w:sz w:val="28"/>
          <w:szCs w:val="28"/>
          <w:rtl/>
        </w:rPr>
        <w:t xml:space="preserve"> קובע</w:t>
      </w:r>
      <w:r>
        <w:rPr>
          <w:rFonts w:ascii="FrankRuehl" w:hAnsi="FrankRuehl" w:cs="FrankRuehl" w:hint="cs"/>
          <w:noProof w:val="0"/>
          <w:sz w:val="28"/>
          <w:szCs w:val="28"/>
          <w:rtl/>
        </w:rPr>
        <w:t xml:space="preserve">: </w:t>
      </w:r>
      <w:r w:rsidR="00B0261E">
        <w:rPr>
          <w:rFonts w:ascii="FrankRuehl" w:hAnsi="FrankRuehl" w:cs="FrankRuehl" w:hint="cs"/>
          <w:noProof w:val="0"/>
          <w:sz w:val="28"/>
          <w:szCs w:val="28"/>
          <w:rtl/>
        </w:rPr>
        <w:t>"</w:t>
      </w:r>
      <w:r w:rsidR="00B0261E" w:rsidRPr="00C06732">
        <w:rPr>
          <w:rFonts w:ascii="FrankRuehl" w:hAnsi="FrankRuehl" w:cs="Miriam" w:hint="cs"/>
          <w:noProof w:val="0"/>
          <w:sz w:val="22"/>
          <w:szCs w:val="22"/>
          <w:rtl/>
        </w:rPr>
        <w:t>האישה נטשה את בית בעלה ללא סיבה חוקית או שמנעה מבעלי להיכנס לביתה לפני שדרשה להעבירה אל בית אחר, תפקע זכותה בדמי מזונות עבור תקופת מרידתה זו</w:t>
      </w:r>
      <w:r w:rsidR="003B40E7">
        <w:rPr>
          <w:rFonts w:ascii="FrankRuehl" w:hAnsi="FrankRuehl" w:cs="FrankRuehl" w:hint="cs"/>
          <w:noProof w:val="0"/>
          <w:sz w:val="28"/>
          <w:szCs w:val="28"/>
          <w:rtl/>
        </w:rPr>
        <w:t>".</w:t>
      </w:r>
    </w:p>
    <w:p w:rsidR="007A2BAC" w:rsidRDefault="007A2BAC" w:rsidP="00E134AC">
      <w:pPr>
        <w:spacing w:line="360" w:lineRule="auto"/>
        <w:ind w:left="1145" w:hanging="720"/>
        <w:jc w:val="both"/>
        <w:rPr>
          <w:rFonts w:ascii="FrankRuehl" w:hAnsi="FrankRuehl" w:cs="FrankRuehl"/>
          <w:noProof w:val="0"/>
          <w:sz w:val="28"/>
          <w:szCs w:val="28"/>
          <w:rtl/>
        </w:rPr>
      </w:pPr>
    </w:p>
    <w:p w:rsidR="00E134AC" w:rsidRDefault="00E134AC" w:rsidP="00E134AC">
      <w:pPr>
        <w:spacing w:after="160" w:line="360" w:lineRule="auto"/>
        <w:ind w:left="425" w:hanging="425"/>
        <w:contextualSpacing/>
        <w:jc w:val="both"/>
        <w:rPr>
          <w:rFonts w:ascii="FrankRuehl" w:hAnsi="FrankRuehl" w:cs="FrankRuehl"/>
          <w:sz w:val="28"/>
          <w:szCs w:val="28"/>
          <w:rtl/>
        </w:rPr>
      </w:pPr>
      <w:r>
        <w:rPr>
          <w:rFonts w:ascii="FrankRuehl" w:hAnsi="FrankRuehl" w:cs="FrankRuehl" w:hint="cs"/>
          <w:noProof w:val="0"/>
          <w:sz w:val="28"/>
          <w:szCs w:val="28"/>
          <w:rtl/>
        </w:rPr>
        <w:t>14.</w:t>
      </w:r>
      <w:r>
        <w:rPr>
          <w:rFonts w:ascii="FrankRuehl" w:hAnsi="FrankRuehl" w:cs="FrankRuehl" w:hint="cs"/>
          <w:noProof w:val="0"/>
          <w:sz w:val="28"/>
          <w:szCs w:val="28"/>
          <w:rtl/>
        </w:rPr>
        <w:tab/>
      </w:r>
      <w:r w:rsidR="00C77D1D">
        <w:rPr>
          <w:rFonts w:ascii="FrankRuehl" w:hAnsi="FrankRuehl" w:cs="FrankRuehl" w:hint="cs"/>
          <w:noProof w:val="0"/>
          <w:sz w:val="28"/>
          <w:szCs w:val="28"/>
          <w:rtl/>
        </w:rPr>
        <w:t xml:space="preserve">מהאמור עולה כי מועד החיוב הוא </w:t>
      </w:r>
      <w:r w:rsidR="00333125">
        <w:rPr>
          <w:rFonts w:ascii="FrankRuehl" w:hAnsi="FrankRuehl" w:cs="FrankRuehl" w:hint="cs"/>
          <w:noProof w:val="0"/>
          <w:sz w:val="28"/>
          <w:szCs w:val="28"/>
          <w:rtl/>
        </w:rPr>
        <w:t>במזונות הקטינה "</w:t>
      </w:r>
      <w:r w:rsidR="00333125" w:rsidRPr="0018705D">
        <w:rPr>
          <w:rFonts w:ascii="FrankRuehl" w:hAnsi="FrankRuehl" w:cs="Miriam" w:hint="cs"/>
          <w:noProof w:val="0"/>
          <w:sz w:val="28"/>
          <w:szCs w:val="22"/>
          <w:rtl/>
        </w:rPr>
        <w:t>עד למועד נישואיה</w:t>
      </w:r>
      <w:r w:rsidR="00333125">
        <w:rPr>
          <w:rFonts w:ascii="FrankRuehl" w:hAnsi="FrankRuehl" w:cs="FrankRuehl" w:hint="cs"/>
          <w:noProof w:val="0"/>
          <w:sz w:val="28"/>
          <w:szCs w:val="28"/>
          <w:rtl/>
        </w:rPr>
        <w:t>" ובמזונות התובע</w:t>
      </w:r>
      <w:r w:rsidR="00C77D1D">
        <w:rPr>
          <w:rFonts w:ascii="FrankRuehl" w:hAnsi="FrankRuehl" w:cs="FrankRuehl" w:hint="cs"/>
          <w:noProof w:val="0"/>
          <w:sz w:val="28"/>
          <w:szCs w:val="28"/>
          <w:rtl/>
        </w:rPr>
        <w:t>ת</w:t>
      </w:r>
      <w:r w:rsidR="00333125">
        <w:rPr>
          <w:rFonts w:ascii="FrankRuehl" w:hAnsi="FrankRuehl" w:cs="FrankRuehl" w:hint="cs"/>
          <w:noProof w:val="0"/>
          <w:sz w:val="28"/>
          <w:szCs w:val="28"/>
          <w:rtl/>
        </w:rPr>
        <w:t xml:space="preserve"> עד מועד הגירושין, אלא אם התקיימו נסיבות </w:t>
      </w:r>
      <w:r w:rsidR="0018705D">
        <w:rPr>
          <w:rFonts w:ascii="FrankRuehl" w:hAnsi="FrankRuehl" w:cs="FrankRuehl" w:hint="cs"/>
          <w:noProof w:val="0"/>
          <w:sz w:val="28"/>
          <w:szCs w:val="28"/>
          <w:rtl/>
        </w:rPr>
        <w:t>המפקיעות חיובו זה. סכום המזונות נקבע בהתאם לעושרו של הבעל.</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023B59">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15.</w:t>
      </w:r>
      <w:r>
        <w:rPr>
          <w:rFonts w:ascii="FrankRuehl" w:hAnsi="FrankRuehl" w:cs="FrankRuehl" w:hint="cs"/>
          <w:sz w:val="28"/>
          <w:szCs w:val="28"/>
          <w:rtl/>
        </w:rPr>
        <w:tab/>
      </w:r>
      <w:r w:rsidR="0018705D">
        <w:rPr>
          <w:rFonts w:ascii="FrankRuehl" w:hAnsi="FrankRuehl" w:cs="FrankRuehl" w:hint="cs"/>
          <w:noProof w:val="0"/>
          <w:sz w:val="28"/>
          <w:szCs w:val="28"/>
          <w:rtl/>
        </w:rPr>
        <w:t>התובעת טוענת כי הכנסתו החודשית הממוצעת של הנתבע היא סך</w:t>
      </w:r>
      <w:r w:rsidR="001F3428">
        <w:rPr>
          <w:rFonts w:ascii="FrankRuehl" w:hAnsi="FrankRuehl" w:cs="FrankRuehl" w:hint="cs"/>
          <w:noProof w:val="0"/>
          <w:sz w:val="28"/>
          <w:szCs w:val="28"/>
          <w:rtl/>
        </w:rPr>
        <w:t xml:space="preserve"> 18,504-</w:t>
      </w:r>
      <w:r w:rsidR="0018705D">
        <w:rPr>
          <w:rFonts w:ascii="FrankRuehl" w:hAnsi="FrankRuehl" w:cs="FrankRuehl" w:hint="cs"/>
          <w:noProof w:val="0"/>
          <w:sz w:val="28"/>
          <w:szCs w:val="28"/>
          <w:rtl/>
        </w:rPr>
        <w:t>19,334 ₪ נטו</w:t>
      </w:r>
      <w:r w:rsidR="001F3428">
        <w:rPr>
          <w:rFonts w:ascii="FrankRuehl" w:hAnsi="FrankRuehl" w:cs="FrankRuehl" w:hint="cs"/>
          <w:noProof w:val="0"/>
          <w:sz w:val="28"/>
          <w:szCs w:val="28"/>
          <w:rtl/>
        </w:rPr>
        <w:t xml:space="preserve"> לחודש. סכומים אלו מורכבים מקִצבאות המוסד לביטוח לאומי: ק</w:t>
      </w:r>
      <w:r w:rsidR="003B40E7">
        <w:rPr>
          <w:rFonts w:ascii="FrankRuehl" w:hAnsi="FrankRuehl" w:cs="FrankRuehl" w:hint="cs"/>
          <w:noProof w:val="0"/>
          <w:sz w:val="28"/>
          <w:szCs w:val="28"/>
          <w:rtl/>
        </w:rPr>
        <w:t>ִ</w:t>
      </w:r>
      <w:r w:rsidR="001F3428">
        <w:rPr>
          <w:rFonts w:ascii="FrankRuehl" w:hAnsi="FrankRuehl" w:cs="FrankRuehl" w:hint="cs"/>
          <w:noProof w:val="0"/>
          <w:sz w:val="28"/>
          <w:szCs w:val="28"/>
          <w:rtl/>
        </w:rPr>
        <w:t>צבת נכות, ק</w:t>
      </w:r>
      <w:r w:rsidR="003B40E7">
        <w:rPr>
          <w:rFonts w:ascii="FrankRuehl" w:hAnsi="FrankRuehl" w:cs="FrankRuehl" w:hint="cs"/>
          <w:noProof w:val="0"/>
          <w:sz w:val="28"/>
          <w:szCs w:val="28"/>
          <w:rtl/>
        </w:rPr>
        <w:t>ִ</w:t>
      </w:r>
      <w:r w:rsidR="001F3428">
        <w:rPr>
          <w:rFonts w:ascii="FrankRuehl" w:hAnsi="FrankRuehl" w:cs="FrankRuehl" w:hint="cs"/>
          <w:noProof w:val="0"/>
          <w:sz w:val="28"/>
          <w:szCs w:val="28"/>
          <w:rtl/>
        </w:rPr>
        <w:t>צבת שירותים מיוחדים וק</w:t>
      </w:r>
      <w:r w:rsidR="003B40E7">
        <w:rPr>
          <w:rFonts w:ascii="FrankRuehl" w:hAnsi="FrankRuehl" w:cs="FrankRuehl" w:hint="cs"/>
          <w:noProof w:val="0"/>
          <w:sz w:val="28"/>
          <w:szCs w:val="28"/>
          <w:rtl/>
        </w:rPr>
        <w:t>ִ</w:t>
      </w:r>
      <w:r w:rsidR="001F3428">
        <w:rPr>
          <w:rFonts w:ascii="FrankRuehl" w:hAnsi="FrankRuehl" w:cs="FrankRuehl" w:hint="cs"/>
          <w:noProof w:val="0"/>
          <w:sz w:val="28"/>
          <w:szCs w:val="28"/>
          <w:rtl/>
        </w:rPr>
        <w:t>צבת ניידו</w:t>
      </w:r>
      <w:r w:rsidR="003B40E7">
        <w:rPr>
          <w:rFonts w:ascii="FrankRuehl" w:hAnsi="FrankRuehl" w:cs="FrankRuehl" w:hint="cs"/>
          <w:noProof w:val="0"/>
          <w:sz w:val="28"/>
          <w:szCs w:val="28"/>
          <w:rtl/>
        </w:rPr>
        <w:t>ּ</w:t>
      </w:r>
      <w:r w:rsidR="001F3428">
        <w:rPr>
          <w:rFonts w:ascii="FrankRuehl" w:hAnsi="FrankRuehl" w:cs="FrankRuehl" w:hint="cs"/>
          <w:noProof w:val="0"/>
          <w:sz w:val="28"/>
          <w:szCs w:val="28"/>
          <w:rtl/>
        </w:rPr>
        <w:t>ת יחד עם ק</w:t>
      </w:r>
      <w:r w:rsidR="003B40E7">
        <w:rPr>
          <w:rFonts w:ascii="FrankRuehl" w:hAnsi="FrankRuehl" w:cs="FrankRuehl" w:hint="cs"/>
          <w:noProof w:val="0"/>
          <w:sz w:val="28"/>
          <w:szCs w:val="28"/>
          <w:rtl/>
        </w:rPr>
        <w:t>ִ</w:t>
      </w:r>
      <w:r w:rsidR="001F3428">
        <w:rPr>
          <w:rFonts w:ascii="FrankRuehl" w:hAnsi="FrankRuehl" w:cs="FrankRuehl" w:hint="cs"/>
          <w:noProof w:val="0"/>
          <w:sz w:val="28"/>
          <w:szCs w:val="28"/>
          <w:rtl/>
        </w:rPr>
        <w:t xml:space="preserve">צבת נכות מחברת ביטוח הראל (2,687 ₪ לחודש) ועולים לטענת התובעת </w:t>
      </w:r>
      <w:r w:rsidR="00D05601">
        <w:rPr>
          <w:rFonts w:ascii="FrankRuehl" w:hAnsi="FrankRuehl" w:cs="FrankRuehl" w:hint="cs"/>
          <w:noProof w:val="0"/>
          <w:sz w:val="28"/>
          <w:szCs w:val="28"/>
          <w:rtl/>
        </w:rPr>
        <w:t>מ</w:t>
      </w:r>
      <w:r w:rsidR="0018705D">
        <w:rPr>
          <w:rFonts w:ascii="FrankRuehl" w:hAnsi="FrankRuehl" w:cs="FrankRuehl" w:hint="cs"/>
          <w:noProof w:val="0"/>
          <w:sz w:val="28"/>
          <w:szCs w:val="28"/>
          <w:rtl/>
        </w:rPr>
        <w:t xml:space="preserve">דפי החשבון שהוגשו. </w:t>
      </w:r>
      <w:r w:rsidR="00D05601">
        <w:rPr>
          <w:rFonts w:ascii="FrankRuehl" w:hAnsi="FrankRuehl" w:cs="FrankRuehl" w:hint="cs"/>
          <w:noProof w:val="0"/>
          <w:sz w:val="28"/>
          <w:szCs w:val="28"/>
          <w:rtl/>
        </w:rPr>
        <w:t xml:space="preserve">עוד נטען כי התובע </w:t>
      </w:r>
      <w:r w:rsidR="0018705D">
        <w:rPr>
          <w:rFonts w:ascii="FrankRuehl" w:hAnsi="FrankRuehl" w:cs="FrankRuehl" w:hint="cs"/>
          <w:noProof w:val="0"/>
          <w:sz w:val="28"/>
          <w:szCs w:val="28"/>
          <w:rtl/>
        </w:rPr>
        <w:t xml:space="preserve">בעל זכויות בשני נכסי מקרקעין שאינם משועבדים להבטחת התחייבויות אחרות. נטען כי הנתבע יכול להגדיל הכנסתו מנכסים אלו ויש להביאם בחשבון בעת פסיקת יכולתו לשלם מזונותיה. </w:t>
      </w:r>
      <w:r w:rsidR="0018705D" w:rsidRPr="00C77D1D">
        <w:rPr>
          <w:rFonts w:ascii="FrankRuehl" w:hAnsi="FrankRuehl" w:cs="FrankRuehl" w:hint="cs"/>
          <w:b/>
          <w:bCs/>
          <w:noProof w:val="0"/>
          <w:sz w:val="28"/>
          <w:szCs w:val="28"/>
          <w:rtl/>
        </w:rPr>
        <w:t xml:space="preserve">התובעת עתרה </w:t>
      </w:r>
      <w:r w:rsidR="00D05601">
        <w:rPr>
          <w:rFonts w:ascii="FrankRuehl" w:hAnsi="FrankRuehl" w:cs="FrankRuehl" w:hint="cs"/>
          <w:b/>
          <w:bCs/>
          <w:noProof w:val="0"/>
          <w:sz w:val="28"/>
          <w:szCs w:val="28"/>
          <w:rtl/>
        </w:rPr>
        <w:t>בתביעתה לתשלום סך 5,090 ₪ לחודש עבור מזונות הקטינה ומדורה</w:t>
      </w:r>
      <w:r w:rsidR="00E94676">
        <w:rPr>
          <w:rFonts w:ascii="FrankRuehl" w:hAnsi="FrankRuehl" w:cs="FrankRuehl" w:hint="cs"/>
          <w:b/>
          <w:bCs/>
          <w:noProof w:val="0"/>
          <w:sz w:val="28"/>
          <w:szCs w:val="28"/>
          <w:rtl/>
        </w:rPr>
        <w:t>ּ</w:t>
      </w:r>
      <w:r w:rsidR="00D05601">
        <w:rPr>
          <w:rFonts w:ascii="FrankRuehl" w:hAnsi="FrankRuehl" w:cs="FrankRuehl" w:hint="cs"/>
          <w:b/>
          <w:bCs/>
          <w:noProof w:val="0"/>
          <w:sz w:val="28"/>
          <w:szCs w:val="28"/>
          <w:rtl/>
        </w:rPr>
        <w:t xml:space="preserve"> (הסכום כולל סך 600 ₪ עבור מדור) וסך </w:t>
      </w:r>
      <w:r w:rsidR="009277CC">
        <w:rPr>
          <w:rFonts w:ascii="FrankRuehl" w:hAnsi="FrankRuehl" w:cs="FrankRuehl" w:hint="cs"/>
          <w:b/>
          <w:bCs/>
          <w:noProof w:val="0"/>
          <w:sz w:val="28"/>
          <w:szCs w:val="28"/>
          <w:rtl/>
        </w:rPr>
        <w:t xml:space="preserve">9,400 ₪ לחודש </w:t>
      </w:r>
      <w:r w:rsidR="00D05601">
        <w:rPr>
          <w:rFonts w:ascii="FrankRuehl" w:hAnsi="FrankRuehl" w:cs="FrankRuehl" w:hint="cs"/>
          <w:b/>
          <w:bCs/>
          <w:noProof w:val="0"/>
          <w:sz w:val="28"/>
          <w:szCs w:val="28"/>
          <w:rtl/>
        </w:rPr>
        <w:t>עבור מזונותיה</w:t>
      </w:r>
      <w:r w:rsidR="009277CC">
        <w:rPr>
          <w:rFonts w:ascii="FrankRuehl" w:hAnsi="FrankRuehl" w:cs="FrankRuehl" w:hint="cs"/>
          <w:b/>
          <w:bCs/>
          <w:noProof w:val="0"/>
          <w:sz w:val="28"/>
          <w:szCs w:val="28"/>
          <w:rtl/>
        </w:rPr>
        <w:t xml:space="preserve"> ומדורה</w:t>
      </w:r>
      <w:r w:rsidR="00E94676">
        <w:rPr>
          <w:rFonts w:ascii="FrankRuehl" w:hAnsi="FrankRuehl" w:cs="FrankRuehl" w:hint="cs"/>
          <w:b/>
          <w:bCs/>
          <w:noProof w:val="0"/>
          <w:sz w:val="28"/>
          <w:szCs w:val="28"/>
          <w:rtl/>
        </w:rPr>
        <w:t>ּ</w:t>
      </w:r>
      <w:r w:rsidR="009277CC">
        <w:rPr>
          <w:rFonts w:ascii="FrankRuehl" w:hAnsi="FrankRuehl" w:cs="FrankRuehl" w:hint="cs"/>
          <w:b/>
          <w:bCs/>
          <w:noProof w:val="0"/>
          <w:sz w:val="28"/>
          <w:szCs w:val="28"/>
          <w:rtl/>
        </w:rPr>
        <w:t xml:space="preserve"> (הסכום כולל 1,400 ₪ עבור מדור)</w:t>
      </w:r>
      <w:r w:rsidR="00D05601">
        <w:rPr>
          <w:rFonts w:ascii="FrankRuehl" w:hAnsi="FrankRuehl" w:cs="FrankRuehl" w:hint="cs"/>
          <w:b/>
          <w:bCs/>
          <w:noProof w:val="0"/>
          <w:sz w:val="28"/>
          <w:szCs w:val="28"/>
          <w:rtl/>
        </w:rPr>
        <w:t xml:space="preserve">. בסיכומיה עתרה התובעת כי יפסק </w:t>
      </w:r>
      <w:r w:rsidR="0018705D" w:rsidRPr="00C77D1D">
        <w:rPr>
          <w:rFonts w:ascii="FrankRuehl" w:hAnsi="FrankRuehl" w:cs="FrankRuehl" w:hint="cs"/>
          <w:b/>
          <w:bCs/>
          <w:noProof w:val="0"/>
          <w:sz w:val="28"/>
          <w:szCs w:val="28"/>
          <w:rtl/>
        </w:rPr>
        <w:t xml:space="preserve">סך 3,500 ₪ לחודש </w:t>
      </w:r>
      <w:r w:rsidR="00D05601">
        <w:rPr>
          <w:rFonts w:ascii="FrankRuehl" w:hAnsi="FrankRuehl" w:cs="FrankRuehl" w:hint="cs"/>
          <w:b/>
          <w:bCs/>
          <w:noProof w:val="0"/>
          <w:sz w:val="28"/>
          <w:szCs w:val="28"/>
          <w:rtl/>
        </w:rPr>
        <w:t xml:space="preserve">עבור מזונותיה, </w:t>
      </w:r>
      <w:r w:rsidR="0018705D" w:rsidRPr="00C77D1D">
        <w:rPr>
          <w:rFonts w:ascii="FrankRuehl" w:hAnsi="FrankRuehl" w:cs="FrankRuehl" w:hint="cs"/>
          <w:b/>
          <w:bCs/>
          <w:noProof w:val="0"/>
          <w:sz w:val="28"/>
          <w:szCs w:val="28"/>
          <w:rtl/>
        </w:rPr>
        <w:t>מיום הגשת התביעה ועד מועד הגירושין</w:t>
      </w:r>
      <w:r w:rsidR="0018705D">
        <w:rPr>
          <w:rFonts w:ascii="FrankRuehl" w:hAnsi="FrankRuehl" w:cs="FrankRuehl" w:hint="cs"/>
          <w:noProof w:val="0"/>
          <w:sz w:val="28"/>
          <w:szCs w:val="28"/>
          <w:rtl/>
        </w:rPr>
        <w:t>. נטען גם כי אין להורות על השבת מזונות ששולמו ביתר, אם שולמו ביתר, מאחר ו</w:t>
      </w:r>
      <w:r w:rsidR="00F50D11">
        <w:rPr>
          <w:rFonts w:ascii="FrankRuehl" w:hAnsi="FrankRuehl" w:cs="FrankRuehl" w:hint="cs"/>
          <w:noProof w:val="0"/>
          <w:sz w:val="28"/>
          <w:szCs w:val="28"/>
          <w:rtl/>
        </w:rPr>
        <w:t>לא נפסק מדור, וגם מאחר ולא היה בתשלומים ששולמו בכדי לכסות את ההוצאות בפועל ביחס לרמת החיים אליה הורגלה הקטינה, וכאשר התובע מתנער לחלוטין מאחריותו ההורית. עוד נטען כי התובעת הותירה בדירת הצדדים את כל המיטלטלין.</w:t>
      </w:r>
      <w:r w:rsidR="00FA3E6D">
        <w:rPr>
          <w:rFonts w:ascii="FrankRuehl" w:hAnsi="FrankRuehl" w:cs="FrankRuehl" w:hint="cs"/>
          <w:noProof w:val="0"/>
          <w:sz w:val="28"/>
          <w:szCs w:val="28"/>
          <w:rtl/>
        </w:rPr>
        <w:t xml:space="preserve"> </w:t>
      </w:r>
      <w:r w:rsidR="00C3185F">
        <w:rPr>
          <w:rFonts w:ascii="FrankRuehl" w:hAnsi="FrankRuehl" w:cs="FrankRuehl" w:hint="cs"/>
          <w:noProof w:val="0"/>
          <w:sz w:val="28"/>
          <w:szCs w:val="28"/>
          <w:rtl/>
        </w:rPr>
        <w:t>אשר להכנסות התובעת, התובעת טענה כי איבדה לחלוטין את כושר עבודתהּ ומוכרת במוסד לביטוח לאומי כנכה בשיעור 100% וזאת לאחר שחלתה במחלות קשות נטען כי התובעת מתקיימת מ</w:t>
      </w:r>
      <w:r w:rsidR="00305332">
        <w:rPr>
          <w:rFonts w:ascii="FrankRuehl" w:hAnsi="FrankRuehl" w:cs="FrankRuehl" w:hint="cs"/>
          <w:noProof w:val="0"/>
          <w:sz w:val="28"/>
          <w:szCs w:val="28"/>
          <w:rtl/>
        </w:rPr>
        <w:t>קִצבת נכות ומקִצבת שירותים מיוחדים. בתביעתה טענה כי הסכום הכולל של קִצבאות המוסד לביטוח</w:t>
      </w:r>
      <w:r w:rsidR="00E94676">
        <w:rPr>
          <w:rFonts w:ascii="FrankRuehl" w:hAnsi="FrankRuehl" w:cs="FrankRuehl" w:hint="cs"/>
          <w:noProof w:val="0"/>
          <w:sz w:val="28"/>
          <w:szCs w:val="28"/>
          <w:rtl/>
        </w:rPr>
        <w:t xml:space="preserve"> שהיא מקבל הוא סך 4,211 ₪ לחודש,</w:t>
      </w:r>
      <w:r w:rsidR="00305332">
        <w:rPr>
          <w:rFonts w:ascii="FrankRuehl" w:hAnsi="FrankRuehl" w:cs="FrankRuehl" w:hint="cs"/>
          <w:noProof w:val="0"/>
          <w:sz w:val="28"/>
          <w:szCs w:val="28"/>
          <w:rtl/>
        </w:rPr>
        <w:t xml:space="preserve"> </w:t>
      </w:r>
      <w:r w:rsidR="00C3185F">
        <w:rPr>
          <w:rFonts w:ascii="FrankRuehl" w:hAnsi="FrankRuehl" w:cs="FrankRuehl" w:hint="cs"/>
          <w:noProof w:val="0"/>
          <w:sz w:val="28"/>
          <w:szCs w:val="28"/>
          <w:rtl/>
        </w:rPr>
        <w:t xml:space="preserve">אך </w:t>
      </w:r>
      <w:r w:rsidR="00305332">
        <w:rPr>
          <w:rFonts w:ascii="FrankRuehl" w:hAnsi="FrankRuehl" w:cs="FrankRuehl" w:hint="cs"/>
          <w:noProof w:val="0"/>
          <w:sz w:val="28"/>
          <w:szCs w:val="28"/>
          <w:rtl/>
        </w:rPr>
        <w:t>בסיכומיה לא פרטה סכומי</w:t>
      </w:r>
      <w:r w:rsidR="005453BD">
        <w:rPr>
          <w:rFonts w:ascii="FrankRuehl" w:hAnsi="FrankRuehl" w:cs="FrankRuehl" w:hint="cs"/>
          <w:noProof w:val="0"/>
          <w:sz w:val="28"/>
          <w:szCs w:val="28"/>
          <w:rtl/>
        </w:rPr>
        <w:t xml:space="preserve"> ק</w:t>
      </w:r>
      <w:r w:rsidR="00E94676">
        <w:rPr>
          <w:rFonts w:ascii="FrankRuehl" w:hAnsi="FrankRuehl" w:cs="FrankRuehl" w:hint="cs"/>
          <w:noProof w:val="0"/>
          <w:sz w:val="28"/>
          <w:szCs w:val="28"/>
          <w:rtl/>
        </w:rPr>
        <w:t>ִ</w:t>
      </w:r>
      <w:r w:rsidR="005453BD">
        <w:rPr>
          <w:rFonts w:ascii="FrankRuehl" w:hAnsi="FrankRuehl" w:cs="FrankRuehl" w:hint="cs"/>
          <w:noProof w:val="0"/>
          <w:sz w:val="28"/>
          <w:szCs w:val="28"/>
          <w:rtl/>
        </w:rPr>
        <w:t xml:space="preserve">צבאותיה, </w:t>
      </w:r>
      <w:r w:rsidR="00305332">
        <w:rPr>
          <w:rFonts w:ascii="FrankRuehl" w:hAnsi="FrankRuehl" w:cs="FrankRuehl" w:hint="cs"/>
          <w:noProof w:val="0"/>
          <w:sz w:val="28"/>
          <w:szCs w:val="28"/>
          <w:rtl/>
        </w:rPr>
        <w:t xml:space="preserve">וטענה </w:t>
      </w:r>
      <w:r w:rsidR="00C3185F">
        <w:rPr>
          <w:rFonts w:ascii="FrankRuehl" w:hAnsi="FrankRuehl" w:cs="FrankRuehl" w:hint="cs"/>
          <w:noProof w:val="0"/>
          <w:sz w:val="28"/>
          <w:szCs w:val="28"/>
          <w:rtl/>
        </w:rPr>
        <w:t xml:space="preserve">בעלמא כי הקִצבאות המשולמות </w:t>
      </w:r>
      <w:r w:rsidR="00E94676">
        <w:rPr>
          <w:rFonts w:ascii="FrankRuehl" w:hAnsi="FrankRuehl" w:cs="FrankRuehl" w:hint="cs"/>
          <w:noProof w:val="0"/>
          <w:sz w:val="28"/>
          <w:szCs w:val="28"/>
          <w:rtl/>
        </w:rPr>
        <w:t>אינן מותירות בידהּ הכנסה פנויה.</w:t>
      </w:r>
      <w:r w:rsidR="005453BD">
        <w:rPr>
          <w:rFonts w:ascii="FrankRuehl" w:hAnsi="FrankRuehl" w:cs="FrankRuehl" w:hint="cs"/>
          <w:noProof w:val="0"/>
          <w:sz w:val="28"/>
          <w:szCs w:val="28"/>
          <w:rtl/>
        </w:rPr>
        <w:t xml:space="preserve"> עוד טענה כי היא נושאת בשכר דירה חודשי עבור יחידת דיור ששוכרת מהוריה בסך 2,000 ₪, וכן בהוצאות אחזקת מדור. מעבר לכך, התובעת לא פירטה הוצאות אחרות ואסמכתאות שצורפו לתצהיר עדותה נגעו אך ורק לשאלת המדור והוצאותיו. ביחס להוצאות הקטינה, התובעת הפנתה בכלליות לטבלה שבסעיף 52 לתצהיר עדותה הראשית, על אף שהמצורפים שם נוגעים, על פי הנטען בתצהיר גופו, להוצאות שהתובעת טוענת שהוציאה עבור חיי הצדדים </w:t>
      </w:r>
      <w:r w:rsidR="005453BD">
        <w:rPr>
          <w:rFonts w:ascii="FrankRuehl" w:hAnsi="FrankRuehl" w:cs="FrankRuehl"/>
          <w:noProof w:val="0"/>
          <w:sz w:val="28"/>
          <w:szCs w:val="28"/>
          <w:rtl/>
        </w:rPr>
        <w:t>–</w:t>
      </w:r>
      <w:r w:rsidR="005453BD">
        <w:rPr>
          <w:rFonts w:ascii="FrankRuehl" w:hAnsi="FrankRuehl" w:cs="FrankRuehl" w:hint="cs"/>
          <w:noProof w:val="0"/>
          <w:sz w:val="28"/>
          <w:szCs w:val="28"/>
          <w:rtl/>
        </w:rPr>
        <w:t xml:space="preserve"> וזאת במענה לטענת הנתבע כי בהונאה </w:t>
      </w:r>
      <w:r w:rsidR="007D06F3">
        <w:rPr>
          <w:rFonts w:ascii="FrankRuehl" w:hAnsi="FrankRuehl" w:cs="FrankRuehl" w:hint="cs"/>
          <w:noProof w:val="0"/>
          <w:sz w:val="28"/>
          <w:szCs w:val="28"/>
          <w:rtl/>
        </w:rPr>
        <w:t xml:space="preserve">התובעת </w:t>
      </w:r>
      <w:r w:rsidR="005453BD">
        <w:rPr>
          <w:rFonts w:ascii="FrankRuehl" w:hAnsi="FrankRuehl" w:cs="FrankRuehl" w:hint="cs"/>
          <w:noProof w:val="0"/>
          <w:sz w:val="28"/>
          <w:szCs w:val="28"/>
          <w:rtl/>
        </w:rPr>
        <w:t xml:space="preserve">גזלה 3.5 מיליון </w:t>
      </w:r>
      <w:r w:rsidR="005453BD" w:rsidRPr="00651C8F">
        <w:rPr>
          <w:rFonts w:ascii="FrankRuehl" w:hAnsi="FrankRuehl" w:cs="FrankRuehl" w:hint="cs"/>
          <w:noProof w:val="0"/>
          <w:rtl/>
        </w:rPr>
        <w:t xml:space="preserve">₪ </w:t>
      </w:r>
      <w:r w:rsidR="007D06F3">
        <w:rPr>
          <w:rFonts w:ascii="FrankRuehl" w:hAnsi="FrankRuehl" w:cs="FrankRuehl" w:hint="cs"/>
          <w:noProof w:val="0"/>
          <w:sz w:val="28"/>
          <w:szCs w:val="28"/>
          <w:rtl/>
        </w:rPr>
        <w:t xml:space="preserve">מכספי </w:t>
      </w:r>
      <w:r w:rsidR="005453BD">
        <w:rPr>
          <w:rFonts w:ascii="FrankRuehl" w:hAnsi="FrankRuehl" w:cs="FrankRuehl" w:hint="cs"/>
          <w:noProof w:val="0"/>
          <w:sz w:val="28"/>
          <w:szCs w:val="28"/>
          <w:rtl/>
        </w:rPr>
        <w:t>פיצוי</w:t>
      </w:r>
      <w:r w:rsidR="007D06F3">
        <w:rPr>
          <w:rFonts w:ascii="FrankRuehl" w:hAnsi="FrankRuehl" w:cs="FrankRuehl" w:hint="cs"/>
          <w:noProof w:val="0"/>
          <w:sz w:val="28"/>
          <w:szCs w:val="28"/>
          <w:rtl/>
        </w:rPr>
        <w:t>ו</w:t>
      </w:r>
      <w:r w:rsidR="00E94676">
        <w:rPr>
          <w:rFonts w:ascii="FrankRuehl" w:hAnsi="FrankRuehl" w:cs="FrankRuehl" w:hint="cs"/>
          <w:noProof w:val="0"/>
          <w:sz w:val="28"/>
          <w:szCs w:val="28"/>
          <w:rtl/>
        </w:rPr>
        <w:t>.</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E94676">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16.</w:t>
      </w:r>
      <w:r>
        <w:rPr>
          <w:rFonts w:ascii="FrankRuehl" w:hAnsi="FrankRuehl" w:cs="FrankRuehl" w:hint="cs"/>
          <w:sz w:val="28"/>
          <w:szCs w:val="28"/>
          <w:rtl/>
        </w:rPr>
        <w:tab/>
      </w:r>
      <w:r w:rsidR="009277CC">
        <w:rPr>
          <w:rFonts w:ascii="FrankRuehl" w:hAnsi="FrankRuehl" w:cs="FrankRuehl" w:hint="cs"/>
          <w:noProof w:val="0"/>
          <w:sz w:val="28"/>
          <w:szCs w:val="28"/>
          <w:rtl/>
        </w:rPr>
        <w:t xml:space="preserve">הנתבע טען כי הגיש תביעת גירושין ביום </w:t>
      </w:r>
      <w:r w:rsidR="00E94676">
        <w:rPr>
          <w:rFonts w:ascii="FrankRuehl" w:hAnsi="FrankRuehl" w:cs="FrankRuehl" w:hint="cs"/>
          <w:noProof w:val="0"/>
          <w:sz w:val="28"/>
          <w:szCs w:val="28"/>
          <w:rtl/>
        </w:rPr>
        <w:t>0</w:t>
      </w:r>
      <w:r w:rsidR="009277CC">
        <w:rPr>
          <w:rFonts w:ascii="FrankRuehl" w:hAnsi="FrankRuehl" w:cs="FrankRuehl" w:hint="cs"/>
          <w:noProof w:val="0"/>
          <w:sz w:val="28"/>
          <w:szCs w:val="28"/>
          <w:rtl/>
        </w:rPr>
        <w:t>1.</w:t>
      </w:r>
      <w:r w:rsidR="00E94676">
        <w:rPr>
          <w:rFonts w:ascii="FrankRuehl" w:hAnsi="FrankRuehl" w:cs="FrankRuehl" w:hint="cs"/>
          <w:noProof w:val="0"/>
          <w:sz w:val="28"/>
          <w:szCs w:val="28"/>
          <w:rtl/>
        </w:rPr>
        <w:t>0</w:t>
      </w:r>
      <w:r w:rsidR="009277CC">
        <w:rPr>
          <w:rFonts w:ascii="FrankRuehl" w:hAnsi="FrankRuehl" w:cs="FrankRuehl" w:hint="cs"/>
          <w:noProof w:val="0"/>
          <w:sz w:val="28"/>
          <w:szCs w:val="28"/>
          <w:rtl/>
        </w:rPr>
        <w:t>5.2018 ולאחר "</w:t>
      </w:r>
      <w:r w:rsidR="009277CC" w:rsidRPr="00E94676">
        <w:rPr>
          <w:rFonts w:ascii="FrankRuehl" w:hAnsi="FrankRuehl" w:cs="Miriam" w:hint="cs"/>
          <w:noProof w:val="0"/>
          <w:sz w:val="28"/>
          <w:rtl/>
        </w:rPr>
        <w:t>מסע מפרך</w:t>
      </w:r>
      <w:r w:rsidR="006371BA" w:rsidRPr="00E94676">
        <w:rPr>
          <w:rFonts w:ascii="FrankRuehl" w:hAnsi="FrankRuehl" w:cs="Miriam" w:hint="cs"/>
          <w:noProof w:val="0"/>
          <w:sz w:val="28"/>
          <w:rtl/>
        </w:rPr>
        <w:t xml:space="preserve"> וקשה</w:t>
      </w:r>
      <w:r w:rsidR="006371BA">
        <w:rPr>
          <w:rFonts w:ascii="FrankRuehl" w:hAnsi="FrankRuehl" w:cs="FrankRuehl" w:hint="cs"/>
          <w:noProof w:val="0"/>
          <w:sz w:val="28"/>
          <w:szCs w:val="28"/>
          <w:rtl/>
        </w:rPr>
        <w:t xml:space="preserve">" </w:t>
      </w:r>
      <w:r w:rsidR="00694A5E">
        <w:rPr>
          <w:rFonts w:ascii="FrankRuehl" w:hAnsi="FrankRuehl" w:cs="FrankRuehl" w:hint="cs"/>
          <w:noProof w:val="0"/>
          <w:sz w:val="28"/>
          <w:szCs w:val="28"/>
          <w:rtl/>
        </w:rPr>
        <w:t xml:space="preserve">התגרשו </w:t>
      </w:r>
      <w:r w:rsidR="00E94676">
        <w:rPr>
          <w:rFonts w:ascii="FrankRuehl" w:hAnsi="FrankRuehl" w:cs="FrankRuehl" w:hint="cs"/>
          <w:noProof w:val="0"/>
          <w:sz w:val="28"/>
          <w:szCs w:val="28"/>
          <w:rtl/>
        </w:rPr>
        <w:t xml:space="preserve">הצדדים </w:t>
      </w:r>
      <w:r w:rsidR="00694A5E">
        <w:rPr>
          <w:rFonts w:ascii="FrankRuehl" w:hAnsi="FrankRuehl" w:cs="FrankRuehl" w:hint="cs"/>
          <w:noProof w:val="0"/>
          <w:sz w:val="28"/>
          <w:szCs w:val="28"/>
          <w:rtl/>
        </w:rPr>
        <w:t xml:space="preserve">בבית הדין ביום 27.10.2021. הנתבע טען כי התובעת </w:t>
      </w:r>
      <w:r w:rsidR="00C77D1D">
        <w:rPr>
          <w:rFonts w:ascii="FrankRuehl" w:hAnsi="FrankRuehl" w:cs="FrankRuehl" w:hint="cs"/>
          <w:noProof w:val="0"/>
          <w:sz w:val="28"/>
          <w:szCs w:val="28"/>
          <w:rtl/>
        </w:rPr>
        <w:t xml:space="preserve">הבריחה </w:t>
      </w:r>
      <w:r w:rsidR="00FA3E6D">
        <w:rPr>
          <w:rFonts w:ascii="FrankRuehl" w:hAnsi="FrankRuehl" w:cs="FrankRuehl" w:hint="cs"/>
          <w:noProof w:val="0"/>
          <w:sz w:val="28"/>
          <w:szCs w:val="28"/>
          <w:rtl/>
        </w:rPr>
        <w:t>במִרמה מ</w:t>
      </w:r>
      <w:r w:rsidR="00694A5E">
        <w:rPr>
          <w:rFonts w:ascii="FrankRuehl" w:hAnsi="FrankRuehl" w:cs="FrankRuehl" w:hint="cs"/>
          <w:noProof w:val="0"/>
          <w:sz w:val="28"/>
          <w:szCs w:val="28"/>
          <w:rtl/>
        </w:rPr>
        <w:t>חשבונו</w:t>
      </w:r>
      <w:r w:rsidR="00C77D1D">
        <w:rPr>
          <w:rFonts w:ascii="FrankRuehl" w:hAnsi="FrankRuehl" w:cs="FrankRuehl" w:hint="cs"/>
          <w:noProof w:val="0"/>
          <w:sz w:val="28"/>
          <w:szCs w:val="28"/>
          <w:rtl/>
        </w:rPr>
        <w:t>, לכל הפחות</w:t>
      </w:r>
      <w:r w:rsidR="00E94676">
        <w:rPr>
          <w:rFonts w:ascii="FrankRuehl" w:hAnsi="FrankRuehl" w:cs="FrankRuehl" w:hint="cs"/>
          <w:noProof w:val="0"/>
          <w:sz w:val="28"/>
          <w:szCs w:val="28"/>
          <w:rtl/>
        </w:rPr>
        <w:t>,</w:t>
      </w:r>
      <w:r w:rsidR="00C77D1D">
        <w:rPr>
          <w:rFonts w:ascii="FrankRuehl" w:hAnsi="FrankRuehl" w:cs="FrankRuehl" w:hint="cs"/>
          <w:noProof w:val="0"/>
          <w:sz w:val="28"/>
          <w:szCs w:val="28"/>
          <w:rtl/>
        </w:rPr>
        <w:t xml:space="preserve"> 3.5 מיליון ₪ מתוך </w:t>
      </w:r>
      <w:r w:rsidR="00694A5E">
        <w:rPr>
          <w:rFonts w:ascii="FrankRuehl" w:hAnsi="FrankRuehl" w:cs="FrankRuehl" w:hint="cs"/>
          <w:noProof w:val="0"/>
          <w:sz w:val="28"/>
          <w:szCs w:val="28"/>
          <w:rtl/>
        </w:rPr>
        <w:t xml:space="preserve">כספי </w:t>
      </w:r>
      <w:r w:rsidR="00FA3E6D">
        <w:rPr>
          <w:rFonts w:ascii="FrankRuehl" w:hAnsi="FrankRuehl" w:cs="FrankRuehl" w:hint="cs"/>
          <w:noProof w:val="0"/>
          <w:sz w:val="28"/>
          <w:szCs w:val="28"/>
          <w:rtl/>
        </w:rPr>
        <w:t>פיצויים ש</w:t>
      </w:r>
      <w:r w:rsidR="00694A5E">
        <w:rPr>
          <w:rFonts w:ascii="FrankRuehl" w:hAnsi="FrankRuehl" w:cs="FrankRuehl" w:hint="cs"/>
          <w:noProof w:val="0"/>
          <w:sz w:val="28"/>
          <w:szCs w:val="28"/>
          <w:rtl/>
        </w:rPr>
        <w:t>שולמו לנתבע בשל התאונה בה נפגע. נטען כי התובעת מינתה עצמה כאפוטרופוס ולאחר מכן ביטלה את המינוי ללא מעורבות או ידיעת הנתבע</w:t>
      </w:r>
      <w:r w:rsidR="00E94676">
        <w:rPr>
          <w:rFonts w:ascii="FrankRuehl" w:hAnsi="FrankRuehl" w:cs="FrankRuehl" w:hint="cs"/>
          <w:noProof w:val="0"/>
          <w:sz w:val="28"/>
          <w:szCs w:val="28"/>
          <w:rtl/>
        </w:rPr>
        <w:t>, וכל זאת על-</w:t>
      </w:r>
      <w:r w:rsidR="00694A5E">
        <w:rPr>
          <w:rFonts w:ascii="FrankRuehl" w:hAnsi="FrankRuehl" w:cs="FrankRuehl" w:hint="cs"/>
          <w:noProof w:val="0"/>
          <w:sz w:val="28"/>
          <w:szCs w:val="28"/>
          <w:rtl/>
        </w:rPr>
        <w:t>מנת למשוך כס</w:t>
      </w:r>
      <w:r w:rsidR="005453BD">
        <w:rPr>
          <w:rFonts w:ascii="FrankRuehl" w:hAnsi="FrankRuehl" w:cs="FrankRuehl" w:hint="cs"/>
          <w:noProof w:val="0"/>
          <w:sz w:val="28"/>
          <w:szCs w:val="28"/>
          <w:rtl/>
        </w:rPr>
        <w:t>פ</w:t>
      </w:r>
      <w:r w:rsidR="00694A5E">
        <w:rPr>
          <w:rFonts w:ascii="FrankRuehl" w:hAnsi="FrankRuehl" w:cs="FrankRuehl" w:hint="cs"/>
          <w:noProof w:val="0"/>
          <w:sz w:val="28"/>
          <w:szCs w:val="28"/>
          <w:rtl/>
        </w:rPr>
        <w:t xml:space="preserve">ים ללא בקרה ופיקוח של האפוטרופוס הכללי. נטען כי סכום המזונות שנתבע גבוה ומופרז וכולל גם צרכים והוצאות חריגות. בית המשפט התבקש </w:t>
      </w:r>
      <w:r w:rsidR="003227BD">
        <w:rPr>
          <w:rFonts w:ascii="FrankRuehl" w:hAnsi="FrankRuehl" w:cs="FrankRuehl" w:hint="cs"/>
          <w:noProof w:val="0"/>
          <w:sz w:val="28"/>
          <w:szCs w:val="28"/>
          <w:rtl/>
        </w:rPr>
        <w:t xml:space="preserve">להעמיד את מזונות הקטינה על סך 1,250 </w:t>
      </w:r>
      <w:r w:rsidR="003227BD" w:rsidRPr="00651C8F">
        <w:rPr>
          <w:rFonts w:ascii="FrankRuehl" w:hAnsi="FrankRuehl" w:cs="FrankRuehl" w:hint="cs"/>
          <w:noProof w:val="0"/>
          <w:rtl/>
        </w:rPr>
        <w:t xml:space="preserve">₪ </w:t>
      </w:r>
      <w:r w:rsidR="00694A5E">
        <w:rPr>
          <w:rFonts w:ascii="FrankRuehl" w:hAnsi="FrankRuehl" w:cs="FrankRuehl" w:hint="cs"/>
          <w:noProof w:val="0"/>
          <w:sz w:val="28"/>
          <w:szCs w:val="28"/>
          <w:rtl/>
        </w:rPr>
        <w:t xml:space="preserve">לחודש </w:t>
      </w:r>
      <w:r w:rsidR="00ED38C1">
        <w:rPr>
          <w:rFonts w:ascii="FrankRuehl" w:hAnsi="FrankRuehl" w:cs="FrankRuehl" w:hint="cs"/>
          <w:noProof w:val="0"/>
          <w:sz w:val="28"/>
          <w:szCs w:val="28"/>
          <w:rtl/>
        </w:rPr>
        <w:t>בתוספת מחצית הוצאות חריגות.</w:t>
      </w:r>
      <w:r w:rsidR="00694A5E">
        <w:rPr>
          <w:rFonts w:ascii="FrankRuehl" w:hAnsi="FrankRuehl" w:cs="FrankRuehl" w:hint="cs"/>
          <w:noProof w:val="0"/>
          <w:sz w:val="28"/>
          <w:szCs w:val="28"/>
          <w:rtl/>
        </w:rPr>
        <w:t xml:space="preserve"> </w:t>
      </w:r>
      <w:r w:rsidR="003227BD">
        <w:rPr>
          <w:rFonts w:ascii="FrankRuehl" w:hAnsi="FrankRuehl" w:cs="FrankRuehl" w:hint="cs"/>
          <w:noProof w:val="0"/>
          <w:sz w:val="28"/>
          <w:szCs w:val="28"/>
          <w:rtl/>
        </w:rPr>
        <w:t xml:space="preserve">אשר למזונות האישה, </w:t>
      </w:r>
      <w:r w:rsidR="00694A5E">
        <w:rPr>
          <w:rFonts w:ascii="FrankRuehl" w:hAnsi="FrankRuehl" w:cs="FrankRuehl" w:hint="cs"/>
          <w:noProof w:val="0"/>
          <w:sz w:val="28"/>
          <w:szCs w:val="28"/>
          <w:rtl/>
        </w:rPr>
        <w:t xml:space="preserve">הנתבע חזר על טענותיו בעניין ריקון </w:t>
      </w:r>
      <w:r w:rsidR="00E94676">
        <w:rPr>
          <w:rFonts w:ascii="FrankRuehl" w:hAnsi="FrankRuehl" w:cs="FrankRuehl" w:hint="cs"/>
          <w:noProof w:val="0"/>
          <w:sz w:val="28"/>
          <w:szCs w:val="28"/>
          <w:rtl/>
        </w:rPr>
        <w:t xml:space="preserve">כספי </w:t>
      </w:r>
      <w:r w:rsidR="00694A5E">
        <w:rPr>
          <w:rFonts w:ascii="FrankRuehl" w:hAnsi="FrankRuehl" w:cs="FrankRuehl" w:hint="cs"/>
          <w:noProof w:val="0"/>
          <w:sz w:val="28"/>
          <w:szCs w:val="28"/>
          <w:rtl/>
        </w:rPr>
        <w:t>הפיצויים והברחתם</w:t>
      </w:r>
      <w:r w:rsidR="00133E02">
        <w:rPr>
          <w:rFonts w:ascii="FrankRuehl" w:hAnsi="FrankRuehl" w:cs="FrankRuehl" w:hint="cs"/>
          <w:noProof w:val="0"/>
          <w:sz w:val="28"/>
          <w:szCs w:val="28"/>
          <w:rtl/>
        </w:rPr>
        <w:t>. עוד טען כי התובעת אינה זכאית למזונות מאחר והיא נטשה את בית הצדדים והיא אישה מורדת (נאשז). נטען גם כי התובעת סירבה להליך הגירושין והיא הכשילה סיומו בטענת סרק כי היא רוצה בשלום בית, על אף טענותיה שבהליכים כאן. הנתבע לא פירט דבר אשר להכנסותיו הוצאותיו או הכנסות והוצאות התובעת</w:t>
      </w:r>
      <w:r w:rsidR="00E94676">
        <w:rPr>
          <w:rFonts w:ascii="FrankRuehl" w:hAnsi="FrankRuehl" w:cs="FrankRuehl" w:hint="cs"/>
          <w:noProof w:val="0"/>
          <w:sz w:val="28"/>
          <w:szCs w:val="28"/>
          <w:rtl/>
        </w:rPr>
        <w:t xml:space="preserve"> -</w:t>
      </w:r>
      <w:r w:rsidR="00133E02">
        <w:rPr>
          <w:rFonts w:ascii="FrankRuehl" w:hAnsi="FrankRuehl" w:cs="FrankRuehl" w:hint="cs"/>
          <w:noProof w:val="0"/>
          <w:sz w:val="28"/>
          <w:szCs w:val="28"/>
          <w:rtl/>
        </w:rPr>
        <w:t xml:space="preserve"> למעט הטענה הכללית כי הסכומים הנתבעים מופרזים. כך גם בסיכומיו במסגרתם טען גם </w:t>
      </w:r>
      <w:r w:rsidR="003227BD">
        <w:rPr>
          <w:rFonts w:ascii="FrankRuehl" w:hAnsi="FrankRuehl" w:cs="FrankRuehl" w:hint="cs"/>
          <w:noProof w:val="0"/>
          <w:sz w:val="28"/>
          <w:szCs w:val="28"/>
          <w:rtl/>
        </w:rPr>
        <w:t xml:space="preserve">כי יש להורות על השבת מזונות האישה </w:t>
      </w:r>
      <w:r w:rsidR="00C77D1D">
        <w:rPr>
          <w:rFonts w:ascii="FrankRuehl" w:hAnsi="FrankRuehl" w:cs="FrankRuehl" w:hint="cs"/>
          <w:noProof w:val="0"/>
          <w:sz w:val="28"/>
          <w:szCs w:val="28"/>
          <w:rtl/>
        </w:rPr>
        <w:t xml:space="preserve">ששולמו הואיל והתובעת דחתה את </w:t>
      </w:r>
      <w:r w:rsidR="003227BD">
        <w:rPr>
          <w:rFonts w:ascii="FrankRuehl" w:hAnsi="FrankRuehl" w:cs="FrankRuehl" w:hint="cs"/>
          <w:noProof w:val="0"/>
          <w:sz w:val="28"/>
          <w:szCs w:val="28"/>
          <w:rtl/>
        </w:rPr>
        <w:t>מועד הגירושין וגרמה לסחבת בהליך שם ועל כן, חויב במזונות אישה ביתר.</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E94676">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17.</w:t>
      </w:r>
      <w:r>
        <w:rPr>
          <w:rFonts w:ascii="FrankRuehl" w:hAnsi="FrankRuehl" w:cs="FrankRuehl" w:hint="cs"/>
          <w:sz w:val="28"/>
          <w:szCs w:val="28"/>
          <w:rtl/>
        </w:rPr>
        <w:tab/>
      </w:r>
      <w:r w:rsidR="004A3B49" w:rsidRPr="00B169A8">
        <w:rPr>
          <w:rFonts w:ascii="FrankRuehl" w:hAnsi="FrankRuehl" w:cs="FrankRuehl"/>
          <w:sz w:val="28"/>
          <w:szCs w:val="28"/>
          <w:rtl/>
        </w:rPr>
        <w:t>לשם הכרעה בתביעת מזונות יש לדון בצרכי הזכאי למזונות</w:t>
      </w:r>
      <w:r w:rsidR="00B169A8" w:rsidRPr="00B169A8">
        <w:rPr>
          <w:rFonts w:ascii="FrankRuehl" w:hAnsi="FrankRuehl" w:cs="FrankRuehl"/>
          <w:sz w:val="28"/>
          <w:szCs w:val="28"/>
          <w:rtl/>
        </w:rPr>
        <w:t xml:space="preserve">, הכנסותיו והכנסות החייב במזונות. </w:t>
      </w:r>
      <w:r w:rsidR="004A3B49" w:rsidRPr="00B169A8">
        <w:rPr>
          <w:rFonts w:ascii="FrankRuehl" w:hAnsi="FrankRuehl" w:cs="FrankRuehl"/>
          <w:sz w:val="28"/>
          <w:szCs w:val="28"/>
          <w:rtl/>
        </w:rPr>
        <w:t xml:space="preserve">במקרה של קטין </w:t>
      </w:r>
      <w:r w:rsidR="00B169A8" w:rsidRPr="00B169A8">
        <w:rPr>
          <w:rFonts w:ascii="FrankRuehl" w:hAnsi="FrankRuehl" w:cs="FrankRuehl"/>
          <w:sz w:val="28"/>
          <w:szCs w:val="28"/>
          <w:rtl/>
        </w:rPr>
        <w:t xml:space="preserve">יש לבחון את </w:t>
      </w:r>
      <w:r w:rsidR="004A3B49" w:rsidRPr="00B169A8">
        <w:rPr>
          <w:rFonts w:ascii="FrankRuehl" w:hAnsi="FrankRuehl" w:cs="FrankRuehl"/>
          <w:sz w:val="28"/>
          <w:szCs w:val="28"/>
          <w:rtl/>
        </w:rPr>
        <w:t>יכולת הוריו</w:t>
      </w:r>
      <w:r w:rsidR="00B169A8" w:rsidRPr="00B169A8">
        <w:rPr>
          <w:rFonts w:ascii="FrankRuehl" w:hAnsi="FrankRuehl" w:cs="FrankRuehl"/>
          <w:sz w:val="28"/>
          <w:szCs w:val="28"/>
          <w:rtl/>
        </w:rPr>
        <w:t xml:space="preserve">, את </w:t>
      </w:r>
      <w:r w:rsidR="004A3B49" w:rsidRPr="00B169A8">
        <w:rPr>
          <w:rFonts w:ascii="FrankRuehl" w:hAnsi="FrankRuehl" w:cs="FrankRuehl"/>
          <w:sz w:val="28"/>
          <w:szCs w:val="28"/>
          <w:rtl/>
        </w:rPr>
        <w:t>יחס הכנסותיה</w:t>
      </w:r>
      <w:r w:rsidR="00B169A8" w:rsidRPr="00B169A8">
        <w:rPr>
          <w:rFonts w:ascii="FrankRuehl" w:hAnsi="FrankRuehl" w:cs="FrankRuehl"/>
          <w:sz w:val="28"/>
          <w:szCs w:val="28"/>
          <w:rtl/>
        </w:rPr>
        <w:t xml:space="preserve">ם, את </w:t>
      </w:r>
      <w:r w:rsidR="004A3B49" w:rsidRPr="00B169A8">
        <w:rPr>
          <w:rFonts w:ascii="FrankRuehl" w:hAnsi="FrankRuehl" w:cs="FrankRuehl"/>
          <w:sz w:val="28"/>
          <w:szCs w:val="28"/>
          <w:rtl/>
        </w:rPr>
        <w:t xml:space="preserve">זמני השהות, </w:t>
      </w:r>
      <w:r w:rsidR="00B169A8" w:rsidRPr="00B169A8">
        <w:rPr>
          <w:rFonts w:ascii="FrankRuehl" w:hAnsi="FrankRuehl" w:cs="FrankRuehl"/>
          <w:sz w:val="28"/>
          <w:szCs w:val="28"/>
          <w:rtl/>
        </w:rPr>
        <w:t xml:space="preserve">את </w:t>
      </w:r>
      <w:r w:rsidR="004A3B49" w:rsidRPr="00B169A8">
        <w:rPr>
          <w:rFonts w:ascii="FrankRuehl" w:hAnsi="FrankRuehl" w:cs="FrankRuehl"/>
          <w:sz w:val="28"/>
          <w:szCs w:val="28"/>
          <w:rtl/>
        </w:rPr>
        <w:t xml:space="preserve">חלוקת האחריות ההורית </w:t>
      </w:r>
      <w:r w:rsidR="00B169A8" w:rsidRPr="00B169A8">
        <w:rPr>
          <w:rFonts w:ascii="FrankRuehl" w:hAnsi="FrankRuehl" w:cs="FrankRuehl"/>
          <w:sz w:val="28"/>
          <w:szCs w:val="28"/>
          <w:rtl/>
        </w:rPr>
        <w:t xml:space="preserve">ואת </w:t>
      </w:r>
      <w:r w:rsidR="004A3B49" w:rsidRPr="00B169A8">
        <w:rPr>
          <w:rFonts w:ascii="FrankRuehl" w:hAnsi="FrankRuehl" w:cs="FrankRuehl"/>
          <w:sz w:val="28"/>
          <w:szCs w:val="28"/>
          <w:rtl/>
        </w:rPr>
        <w:t xml:space="preserve">שאר נסיבות העניין. אין מדובר בנוסחה מתמטית. ראו עמ"ש 1180-05-14 </w:t>
      </w:r>
      <w:r w:rsidR="004A3B49" w:rsidRPr="00B169A8">
        <w:rPr>
          <w:rFonts w:ascii="FrankRuehl" w:hAnsi="FrankRuehl" w:cs="FrankRuehl"/>
          <w:b/>
          <w:bCs/>
          <w:sz w:val="28"/>
          <w:szCs w:val="28"/>
          <w:rtl/>
        </w:rPr>
        <w:t>א.א. נ' מ.א.</w:t>
      </w:r>
      <w:r w:rsidR="004A3B49" w:rsidRPr="00B169A8">
        <w:rPr>
          <w:rFonts w:ascii="FrankRuehl" w:hAnsi="FrankRuehl" w:cs="FrankRuehl"/>
          <w:sz w:val="28"/>
          <w:szCs w:val="28"/>
          <w:rtl/>
        </w:rPr>
        <w:t xml:space="preserve">, מיום 26.03.2015 עמוד 4 לפסק דינו של השופט שאול שוחט וגם עמ"ש (חיפה) 4208-01-19 </w:t>
      </w:r>
      <w:r w:rsidR="004A3B49" w:rsidRPr="00B169A8">
        <w:rPr>
          <w:rFonts w:ascii="FrankRuehl" w:hAnsi="FrankRuehl" w:cs="FrankRuehl"/>
          <w:b/>
          <w:bCs/>
          <w:sz w:val="28"/>
          <w:szCs w:val="28"/>
          <w:rtl/>
        </w:rPr>
        <w:t xml:space="preserve">ד' ב' נ' א' א' ב' </w:t>
      </w:r>
      <w:r w:rsidR="004A3B49" w:rsidRPr="00B169A8">
        <w:rPr>
          <w:rFonts w:ascii="FrankRuehl" w:hAnsi="FrankRuehl" w:cs="FrankRuehl"/>
          <w:sz w:val="28"/>
          <w:szCs w:val="28"/>
          <w:rtl/>
        </w:rPr>
        <w:t>מיום 21.</w:t>
      </w:r>
      <w:r w:rsidR="00E94676">
        <w:rPr>
          <w:rFonts w:ascii="FrankRuehl" w:hAnsi="FrankRuehl" w:cs="FrankRuehl" w:hint="cs"/>
          <w:sz w:val="28"/>
          <w:szCs w:val="28"/>
          <w:rtl/>
        </w:rPr>
        <w:t>07</w:t>
      </w:r>
      <w:r w:rsidR="004A3B49" w:rsidRPr="00B169A8">
        <w:rPr>
          <w:rFonts w:ascii="FrankRuehl" w:hAnsi="FrankRuehl" w:cs="FrankRuehl"/>
          <w:sz w:val="28"/>
          <w:szCs w:val="28"/>
          <w:rtl/>
        </w:rPr>
        <w:t>.</w:t>
      </w:r>
      <w:r w:rsidR="00E94676">
        <w:rPr>
          <w:rFonts w:ascii="FrankRuehl" w:hAnsi="FrankRuehl" w:cs="FrankRuehl" w:hint="cs"/>
          <w:sz w:val="28"/>
          <w:szCs w:val="28"/>
          <w:rtl/>
        </w:rPr>
        <w:t>2019</w:t>
      </w:r>
      <w:r>
        <w:rPr>
          <w:rFonts w:ascii="FrankRuehl" w:hAnsi="FrankRuehl" w:cs="FrankRuehl" w:hint="cs"/>
          <w:sz w:val="28"/>
          <w:szCs w:val="28"/>
          <w:rtl/>
        </w:rPr>
        <w:t>.</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E94676">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18.</w:t>
      </w:r>
      <w:r>
        <w:rPr>
          <w:rFonts w:ascii="FrankRuehl" w:hAnsi="FrankRuehl" w:cs="FrankRuehl" w:hint="cs"/>
          <w:sz w:val="28"/>
          <w:szCs w:val="28"/>
          <w:rtl/>
        </w:rPr>
        <w:tab/>
      </w:r>
      <w:r w:rsidR="00B169A8" w:rsidRPr="00B169A8">
        <w:rPr>
          <w:rFonts w:ascii="FrankRuehl" w:hAnsi="FrankRuehl" w:cs="FrankRuehl"/>
          <w:noProof w:val="0"/>
          <w:sz w:val="28"/>
          <w:szCs w:val="28"/>
          <w:rtl/>
        </w:rPr>
        <w:t xml:space="preserve">מהמפורט עולה כי שני הצדדים לא הניחו בפני בית המשפט תשתית מספיקה לקביעת צרכי הקטינה לשם קביעת מזונותיה ומדורה וכך גם בנוגע למזונות התובעת. </w:t>
      </w:r>
      <w:r w:rsidR="00B169A8">
        <w:rPr>
          <w:rFonts w:ascii="FrankRuehl" w:hAnsi="FrankRuehl" w:cs="FrankRuehl" w:hint="cs"/>
          <w:sz w:val="28"/>
          <w:szCs w:val="28"/>
          <w:rtl/>
        </w:rPr>
        <w:t xml:space="preserve">התובעת </w:t>
      </w:r>
      <w:r w:rsidR="004A3B49" w:rsidRPr="00B169A8">
        <w:rPr>
          <w:rFonts w:ascii="FrankRuehl" w:hAnsi="FrankRuehl" w:cs="FrankRuehl"/>
          <w:sz w:val="28"/>
          <w:szCs w:val="28"/>
          <w:rtl/>
        </w:rPr>
        <w:t xml:space="preserve">עתרה לתשלום </w:t>
      </w:r>
      <w:r w:rsidR="004A3B49" w:rsidRPr="00B169A8">
        <w:rPr>
          <w:rFonts w:ascii="FrankRuehl" w:hAnsi="FrankRuehl" w:cs="FrankRuehl"/>
          <w:sz w:val="28"/>
          <w:szCs w:val="28"/>
          <w:u w:val="single"/>
          <w:rtl/>
        </w:rPr>
        <w:t xml:space="preserve">סך </w:t>
      </w:r>
      <w:r w:rsidR="00B169A8">
        <w:rPr>
          <w:rFonts w:ascii="FrankRuehl" w:hAnsi="FrankRuehl" w:cs="FrankRuehl" w:hint="cs"/>
          <w:sz w:val="28"/>
          <w:szCs w:val="28"/>
          <w:u w:val="single"/>
          <w:rtl/>
        </w:rPr>
        <w:t>5,000</w:t>
      </w:r>
      <w:r w:rsidR="004A3B49" w:rsidRPr="00B169A8">
        <w:rPr>
          <w:rFonts w:ascii="FrankRuehl" w:hAnsi="FrankRuehl" w:cs="FrankRuehl"/>
          <w:sz w:val="28"/>
          <w:szCs w:val="28"/>
          <w:u w:val="single"/>
          <w:rtl/>
        </w:rPr>
        <w:t xml:space="preserve"> ₪ לחודש עבור </w:t>
      </w:r>
      <w:r w:rsidR="00B169A8">
        <w:rPr>
          <w:rFonts w:ascii="FrankRuehl" w:hAnsi="FrankRuehl" w:cs="FrankRuehl" w:hint="cs"/>
          <w:sz w:val="28"/>
          <w:szCs w:val="28"/>
          <w:u w:val="single"/>
          <w:rtl/>
        </w:rPr>
        <w:t>מזונות הקטינה ומדורה</w:t>
      </w:r>
      <w:r w:rsidR="00E94676">
        <w:rPr>
          <w:rFonts w:ascii="FrankRuehl" w:hAnsi="FrankRuehl" w:cs="FrankRuehl" w:hint="cs"/>
          <w:sz w:val="28"/>
          <w:szCs w:val="28"/>
          <w:rtl/>
        </w:rPr>
        <w:t>ּ</w:t>
      </w:r>
      <w:r w:rsidR="00B169A8" w:rsidRPr="00B169A8">
        <w:rPr>
          <w:rFonts w:ascii="FrankRuehl" w:hAnsi="FrankRuehl" w:cs="FrankRuehl" w:hint="cs"/>
          <w:sz w:val="28"/>
          <w:szCs w:val="28"/>
          <w:rtl/>
        </w:rPr>
        <w:t xml:space="preserve">. </w:t>
      </w:r>
      <w:r w:rsidR="00B169A8">
        <w:rPr>
          <w:rFonts w:ascii="FrankRuehl" w:hAnsi="FrankRuehl" w:cs="FrankRuehl" w:hint="cs"/>
          <w:sz w:val="28"/>
          <w:szCs w:val="28"/>
          <w:rtl/>
        </w:rPr>
        <w:t>סכום זה מורכב מסך 800 ₪ עבור מזון</w:t>
      </w:r>
      <w:r w:rsidR="00013E8B">
        <w:rPr>
          <w:rFonts w:ascii="FrankRuehl" w:hAnsi="FrankRuehl" w:cs="FrankRuehl" w:hint="cs"/>
          <w:sz w:val="28"/>
          <w:szCs w:val="28"/>
          <w:rtl/>
        </w:rPr>
        <w:t>, סך 800 ₪ עבור ביגוד והנעלה, סך 600 ₪ עבור מדור, סך 500 ₪ עבור אחזקת מדור, סך 150 ₪ עבור הוצאות רפואיות, סך 200 ₪ עבור תרבות ופנאי, סך 100 ₪ עבור מספרה, סך 200 ₪ עבור מוצרי היגיינה וניקוי, סך 150 ₪ עבור ביטוח בריאות כללית, סך 700 ₪ עבור טיפולים ר</w:t>
      </w:r>
      <w:r w:rsidR="00E94676">
        <w:rPr>
          <w:rFonts w:ascii="FrankRuehl" w:hAnsi="FrankRuehl" w:cs="FrankRuehl" w:hint="cs"/>
          <w:sz w:val="28"/>
          <w:szCs w:val="28"/>
          <w:rtl/>
        </w:rPr>
        <w:t>ִ</w:t>
      </w:r>
      <w:r w:rsidR="00013E8B">
        <w:rPr>
          <w:rFonts w:ascii="FrankRuehl" w:hAnsi="FrankRuehl" w:cs="FrankRuehl" w:hint="cs"/>
          <w:sz w:val="28"/>
          <w:szCs w:val="28"/>
          <w:rtl/>
        </w:rPr>
        <w:t>גשיים, סך 200 ₪ עבור הוצאות חינוך, סך 500 ₪ עבור חוגים, סך 500 ₪ עבור שיעורים פרטיי</w:t>
      </w:r>
      <w:r w:rsidR="00E94676">
        <w:rPr>
          <w:rFonts w:ascii="FrankRuehl" w:hAnsi="FrankRuehl" w:cs="FrankRuehl" w:hint="cs"/>
          <w:sz w:val="28"/>
          <w:szCs w:val="28"/>
          <w:rtl/>
        </w:rPr>
        <w:t>ם, סך 400 ₪ עבור רכיבה טיפולית.</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Pr="00043F3D" w:rsidRDefault="00E134AC" w:rsidP="00043F3D">
      <w:pPr>
        <w:spacing w:after="160" w:line="360" w:lineRule="auto"/>
        <w:ind w:left="425" w:hanging="425"/>
        <w:contextualSpacing/>
        <w:jc w:val="both"/>
        <w:rPr>
          <w:rFonts w:ascii="FrankRuehl" w:hAnsi="FrankRuehl" w:cs="FrankRuehl"/>
          <w:b/>
          <w:bCs/>
          <w:sz w:val="28"/>
          <w:szCs w:val="28"/>
          <w:rtl/>
        </w:rPr>
      </w:pPr>
      <w:r>
        <w:rPr>
          <w:rFonts w:ascii="FrankRuehl" w:hAnsi="FrankRuehl" w:cs="FrankRuehl" w:hint="cs"/>
          <w:sz w:val="28"/>
          <w:szCs w:val="28"/>
          <w:rtl/>
        </w:rPr>
        <w:t>19.</w:t>
      </w:r>
      <w:r>
        <w:rPr>
          <w:rFonts w:ascii="FrankRuehl" w:hAnsi="FrankRuehl" w:cs="FrankRuehl" w:hint="cs"/>
          <w:sz w:val="28"/>
          <w:szCs w:val="28"/>
          <w:rtl/>
        </w:rPr>
        <w:tab/>
      </w:r>
      <w:r w:rsidR="00B169A8">
        <w:rPr>
          <w:rFonts w:ascii="FrankRuehl" w:hAnsi="FrankRuehl" w:cs="FrankRuehl" w:hint="cs"/>
          <w:sz w:val="28"/>
          <w:szCs w:val="28"/>
          <w:rtl/>
        </w:rPr>
        <w:t>כבר כעת ניתן לראו כי הסכומים ה</w:t>
      </w:r>
      <w:r w:rsidR="00013E8B">
        <w:rPr>
          <w:rFonts w:ascii="FrankRuehl" w:hAnsi="FrankRuehl" w:cs="FrankRuehl" w:hint="cs"/>
          <w:sz w:val="28"/>
          <w:szCs w:val="28"/>
          <w:rtl/>
        </w:rPr>
        <w:t>נתבעים כוללים הוצאות חריגות שאי</w:t>
      </w:r>
      <w:r w:rsidR="00B169A8">
        <w:rPr>
          <w:rFonts w:ascii="FrankRuehl" w:hAnsi="FrankRuehl" w:cs="FrankRuehl" w:hint="cs"/>
          <w:sz w:val="28"/>
          <w:szCs w:val="28"/>
          <w:rtl/>
        </w:rPr>
        <w:t>ן לכלול</w:t>
      </w:r>
      <w:r w:rsidR="00013E8B">
        <w:rPr>
          <w:rFonts w:ascii="FrankRuehl" w:hAnsi="FrankRuehl" w:cs="FrankRuehl" w:hint="cs"/>
          <w:sz w:val="28"/>
          <w:szCs w:val="28"/>
          <w:rtl/>
        </w:rPr>
        <w:t>ן</w:t>
      </w:r>
      <w:r w:rsidR="00B169A8">
        <w:rPr>
          <w:rFonts w:ascii="FrankRuehl" w:hAnsi="FrankRuehl" w:cs="FrankRuehl" w:hint="cs"/>
          <w:sz w:val="28"/>
          <w:szCs w:val="28"/>
          <w:rtl/>
        </w:rPr>
        <w:t xml:space="preserve"> במזונות השוטפים ויש להפחיתם. הפחתת תשלומים אלו והמדור, מעמידה את תביעת התובעת עבור מזונות הקטינה על סך </w:t>
      </w:r>
      <w:r w:rsidR="001E268F">
        <w:rPr>
          <w:rFonts w:ascii="FrankRuehl" w:hAnsi="FrankRuehl" w:cs="FrankRuehl" w:hint="cs"/>
          <w:sz w:val="28"/>
          <w:szCs w:val="28"/>
          <w:rtl/>
        </w:rPr>
        <w:t>2,100 ₪ לא כולל מדור</w:t>
      </w:r>
      <w:r w:rsidR="00013E8B">
        <w:rPr>
          <w:rFonts w:ascii="FrankRuehl" w:hAnsi="FrankRuehl" w:cs="FrankRuehl" w:hint="cs"/>
          <w:sz w:val="28"/>
          <w:szCs w:val="28"/>
          <w:rtl/>
        </w:rPr>
        <w:t xml:space="preserve"> כש</w:t>
      </w:r>
      <w:r w:rsidR="001E268F">
        <w:rPr>
          <w:rFonts w:ascii="FrankRuehl" w:hAnsi="FrankRuehl" w:cs="FrankRuehl" w:hint="cs"/>
          <w:sz w:val="28"/>
          <w:szCs w:val="28"/>
          <w:rtl/>
        </w:rPr>
        <w:t>סכום זה כולל 800 ₪ לחודש עבור ביגוד ו-200 ₪ עבור מוצרי ה</w:t>
      </w:r>
      <w:r w:rsidR="00043F3D">
        <w:rPr>
          <w:rFonts w:ascii="FrankRuehl" w:hAnsi="FrankRuehl" w:cs="FrankRuehl" w:hint="cs"/>
          <w:sz w:val="28"/>
          <w:szCs w:val="28"/>
          <w:rtl/>
        </w:rPr>
        <w:t>י</w:t>
      </w:r>
      <w:r w:rsidR="001E268F">
        <w:rPr>
          <w:rFonts w:ascii="FrankRuehl" w:hAnsi="FrankRuehl" w:cs="FrankRuehl" w:hint="cs"/>
          <w:sz w:val="28"/>
          <w:szCs w:val="28"/>
          <w:rtl/>
        </w:rPr>
        <w:t xml:space="preserve">גיינה. סכומים אלו מופרזים. </w:t>
      </w:r>
      <w:r w:rsidR="00043F3D">
        <w:rPr>
          <w:rFonts w:ascii="FrankRuehl" w:hAnsi="FrankRuehl" w:cs="FrankRuehl" w:hint="cs"/>
          <w:sz w:val="28"/>
          <w:szCs w:val="28"/>
          <w:rtl/>
        </w:rPr>
        <w:t xml:space="preserve">העמדת שני רכיבים אלו </w:t>
      </w:r>
      <w:r w:rsidR="00043F3D">
        <w:rPr>
          <w:rFonts w:ascii="FrankRuehl" w:hAnsi="FrankRuehl" w:cs="FrankRuehl"/>
          <w:sz w:val="28"/>
          <w:szCs w:val="28"/>
          <w:rtl/>
        </w:rPr>
        <w:t>–</w:t>
      </w:r>
      <w:r w:rsidR="00043F3D">
        <w:rPr>
          <w:rFonts w:ascii="FrankRuehl" w:hAnsi="FrankRuehl" w:cs="FrankRuehl" w:hint="cs"/>
          <w:sz w:val="28"/>
          <w:szCs w:val="28"/>
          <w:rtl/>
        </w:rPr>
        <w:t xml:space="preserve"> ביגוד ומוצרי היגיינה ע</w:t>
      </w:r>
      <w:r w:rsidR="00E94676">
        <w:rPr>
          <w:rFonts w:ascii="FrankRuehl" w:hAnsi="FrankRuehl" w:cs="FrankRuehl" w:hint="cs"/>
          <w:sz w:val="28"/>
          <w:szCs w:val="28"/>
          <w:rtl/>
        </w:rPr>
        <w:t>ל סכומים סבירים -</w:t>
      </w:r>
      <w:r w:rsidR="00043F3D">
        <w:rPr>
          <w:rFonts w:ascii="FrankRuehl" w:hAnsi="FrankRuehl" w:cs="FrankRuehl" w:hint="cs"/>
          <w:sz w:val="28"/>
          <w:szCs w:val="28"/>
          <w:rtl/>
        </w:rPr>
        <w:t xml:space="preserve"> 300 ₪ עבור ביגוד ו-100 ₪ עבור מוצרי היגיינה </w:t>
      </w:r>
      <w:r w:rsidR="00043F3D" w:rsidRPr="00043F3D">
        <w:rPr>
          <w:rFonts w:ascii="FrankRuehl" w:hAnsi="FrankRuehl" w:cs="FrankRuehl" w:hint="cs"/>
          <w:b/>
          <w:bCs/>
          <w:sz w:val="28"/>
          <w:szCs w:val="28"/>
          <w:rtl/>
        </w:rPr>
        <w:t xml:space="preserve">משמעם כי </w:t>
      </w:r>
      <w:r w:rsidR="00013E8B" w:rsidRPr="00043F3D">
        <w:rPr>
          <w:rFonts w:ascii="FrankRuehl" w:hAnsi="FrankRuehl" w:cs="FrankRuehl" w:hint="cs"/>
          <w:b/>
          <w:bCs/>
          <w:sz w:val="28"/>
          <w:szCs w:val="28"/>
          <w:rtl/>
        </w:rPr>
        <w:t xml:space="preserve">תביעת התובעת </w:t>
      </w:r>
      <w:r w:rsidR="00043F3D" w:rsidRPr="00043F3D">
        <w:rPr>
          <w:rFonts w:ascii="FrankRuehl" w:hAnsi="FrankRuehl" w:cs="FrankRuehl" w:hint="cs"/>
          <w:b/>
          <w:bCs/>
          <w:sz w:val="28"/>
          <w:szCs w:val="28"/>
          <w:rtl/>
        </w:rPr>
        <w:t xml:space="preserve">למזונות שוטפים היא סך </w:t>
      </w:r>
      <w:r w:rsidR="00013E8B" w:rsidRPr="00043F3D">
        <w:rPr>
          <w:rFonts w:ascii="FrankRuehl" w:hAnsi="FrankRuehl" w:cs="FrankRuehl" w:hint="cs"/>
          <w:b/>
          <w:bCs/>
          <w:sz w:val="28"/>
          <w:szCs w:val="28"/>
          <w:rtl/>
        </w:rPr>
        <w:t>1,</w:t>
      </w:r>
      <w:r w:rsidR="00043F3D" w:rsidRPr="00043F3D">
        <w:rPr>
          <w:rFonts w:ascii="FrankRuehl" w:hAnsi="FrankRuehl" w:cs="FrankRuehl" w:hint="cs"/>
          <w:b/>
          <w:bCs/>
          <w:sz w:val="28"/>
          <w:szCs w:val="28"/>
          <w:rtl/>
        </w:rPr>
        <w:t>5</w:t>
      </w:r>
      <w:r w:rsidR="00013E8B" w:rsidRPr="00043F3D">
        <w:rPr>
          <w:rFonts w:ascii="FrankRuehl" w:hAnsi="FrankRuehl" w:cs="FrankRuehl" w:hint="cs"/>
          <w:b/>
          <w:bCs/>
          <w:sz w:val="28"/>
          <w:szCs w:val="28"/>
          <w:rtl/>
        </w:rPr>
        <w:t>00 ₪ לחודש</w:t>
      </w:r>
      <w:r w:rsidR="00043F3D" w:rsidRPr="00043F3D">
        <w:rPr>
          <w:rFonts w:ascii="FrankRuehl" w:hAnsi="FrankRuehl" w:cs="FrankRuehl" w:hint="cs"/>
          <w:b/>
          <w:bCs/>
          <w:sz w:val="28"/>
          <w:szCs w:val="28"/>
          <w:rtl/>
        </w:rPr>
        <w:t>.</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E134AC">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20.</w:t>
      </w:r>
      <w:r>
        <w:rPr>
          <w:rFonts w:ascii="FrankRuehl" w:hAnsi="FrankRuehl" w:cs="FrankRuehl" w:hint="cs"/>
          <w:sz w:val="28"/>
          <w:szCs w:val="28"/>
          <w:rtl/>
        </w:rPr>
        <w:tab/>
      </w:r>
      <w:r w:rsidR="001E268F">
        <w:rPr>
          <w:rFonts w:ascii="FrankRuehl" w:hAnsi="FrankRuehl" w:cs="FrankRuehl" w:hint="cs"/>
          <w:noProof w:val="0"/>
          <w:sz w:val="28"/>
          <w:szCs w:val="28"/>
          <w:rtl/>
        </w:rPr>
        <w:t>מנגד, המשיב, ללא פירוט ביקש להעמיד את מזונות הקטינה ומדורה על סך 1,250 ₪. סכום זה הוא נמוך ואינו מייצג מזונות סבירים שיש בהם למלא אחר צרכי קטין בעל צרכים "רגילים".</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633A53">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21.</w:t>
      </w:r>
      <w:r>
        <w:rPr>
          <w:rFonts w:ascii="FrankRuehl" w:hAnsi="FrankRuehl" w:cs="FrankRuehl" w:hint="cs"/>
          <w:sz w:val="28"/>
          <w:szCs w:val="28"/>
          <w:rtl/>
        </w:rPr>
        <w:tab/>
      </w:r>
      <w:r w:rsidR="001E268F" w:rsidRPr="001E268F">
        <w:rPr>
          <w:rFonts w:ascii="FrankRuehl" w:eastAsia="Calibri" w:hAnsi="FrankRuehl" w:cs="FrankRuehl"/>
          <w:sz w:val="28"/>
          <w:szCs w:val="28"/>
          <w:rtl/>
        </w:rPr>
        <w:t xml:space="preserve">תביעת מזונות היא תביעה כספית שיש להוכיח ככל תביעה אחרת. כאשר העובדות אינן שלמות, יאמוד בית המשפט את הצרכים על פי נִסיון החיים. ראו: ע"א 680/82 </w:t>
      </w:r>
      <w:r w:rsidR="001E268F" w:rsidRPr="001E268F">
        <w:rPr>
          <w:rFonts w:ascii="FrankRuehl" w:eastAsia="Calibri" w:hAnsi="FrankRuehl" w:cs="FrankRuehl"/>
          <w:b/>
          <w:bCs/>
          <w:sz w:val="28"/>
          <w:szCs w:val="28"/>
          <w:rtl/>
        </w:rPr>
        <w:t>נחום נ' נחום</w:t>
      </w:r>
      <w:r w:rsidR="001E268F" w:rsidRPr="001E268F">
        <w:rPr>
          <w:rFonts w:ascii="FrankRuehl" w:eastAsia="Calibri" w:hAnsi="FrankRuehl" w:cs="FrankRuehl"/>
          <w:sz w:val="28"/>
          <w:szCs w:val="28"/>
          <w:rtl/>
        </w:rPr>
        <w:t xml:space="preserve">, פ"ד לז(4)667; ע"א 687/83 </w:t>
      </w:r>
      <w:r w:rsidR="001E268F" w:rsidRPr="001E268F">
        <w:rPr>
          <w:rFonts w:ascii="FrankRuehl" w:eastAsia="Calibri" w:hAnsi="FrankRuehl" w:cs="FrankRuehl"/>
          <w:b/>
          <w:bCs/>
          <w:sz w:val="28"/>
          <w:szCs w:val="28"/>
          <w:rtl/>
        </w:rPr>
        <w:t>מזור נ' מזור</w:t>
      </w:r>
      <w:r w:rsidR="001E268F" w:rsidRPr="001E268F">
        <w:rPr>
          <w:rFonts w:ascii="FrankRuehl" w:eastAsia="Calibri" w:hAnsi="FrankRuehl" w:cs="FrankRuehl"/>
          <w:sz w:val="28"/>
          <w:szCs w:val="28"/>
          <w:rtl/>
        </w:rPr>
        <w:t xml:space="preserve">, פ"ד לח(3) 29, 33; ע"א 130/85 </w:t>
      </w:r>
      <w:r w:rsidR="001E268F" w:rsidRPr="001E268F">
        <w:rPr>
          <w:rFonts w:ascii="FrankRuehl" w:eastAsia="Calibri" w:hAnsi="FrankRuehl" w:cs="FrankRuehl"/>
          <w:b/>
          <w:bCs/>
          <w:sz w:val="28"/>
          <w:szCs w:val="28"/>
          <w:rtl/>
        </w:rPr>
        <w:t>ניסים סבן כהן נ' שמעון כהן</w:t>
      </w:r>
      <w:r w:rsidR="001E268F" w:rsidRPr="001E268F">
        <w:rPr>
          <w:rFonts w:ascii="FrankRuehl" w:eastAsia="Calibri" w:hAnsi="FrankRuehl" w:cs="FrankRuehl"/>
          <w:sz w:val="28"/>
          <w:szCs w:val="28"/>
          <w:rtl/>
        </w:rPr>
        <w:t xml:space="preserve">, פ"ד מ(1) 69; ע"א 93/85 </w:t>
      </w:r>
      <w:r w:rsidR="001E268F" w:rsidRPr="001E268F">
        <w:rPr>
          <w:rFonts w:ascii="FrankRuehl" w:eastAsia="Calibri" w:hAnsi="FrankRuehl" w:cs="FrankRuehl"/>
          <w:b/>
          <w:bCs/>
          <w:sz w:val="28"/>
          <w:szCs w:val="28"/>
          <w:rtl/>
        </w:rPr>
        <w:t>שגב נ' שגב</w:t>
      </w:r>
      <w:r w:rsidR="001E268F" w:rsidRPr="001E268F">
        <w:rPr>
          <w:rFonts w:ascii="FrankRuehl" w:eastAsia="Calibri" w:hAnsi="FrankRuehl" w:cs="FrankRuehl"/>
          <w:sz w:val="28"/>
          <w:szCs w:val="28"/>
          <w:rtl/>
        </w:rPr>
        <w:t>, פ"ד לט(3)822, 825, 828 ועוד.</w:t>
      </w:r>
    </w:p>
    <w:p w:rsidR="00E134AC" w:rsidRDefault="00E134AC" w:rsidP="00E134AC">
      <w:pPr>
        <w:spacing w:after="160" w:line="360" w:lineRule="auto"/>
        <w:ind w:left="425" w:hanging="425"/>
        <w:contextualSpacing/>
        <w:jc w:val="both"/>
        <w:rPr>
          <w:rFonts w:ascii="FrankRuehl" w:hAnsi="FrankRuehl" w:cs="FrankRuehl"/>
          <w:sz w:val="28"/>
          <w:szCs w:val="28"/>
          <w:rtl/>
        </w:rPr>
      </w:pPr>
    </w:p>
    <w:p w:rsidR="00E134AC" w:rsidRDefault="00E134AC" w:rsidP="00633A53">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22.</w:t>
      </w:r>
      <w:r>
        <w:rPr>
          <w:rFonts w:ascii="FrankRuehl" w:hAnsi="FrankRuehl" w:cs="FrankRuehl" w:hint="cs"/>
          <w:sz w:val="28"/>
          <w:szCs w:val="28"/>
          <w:rtl/>
        </w:rPr>
        <w:tab/>
      </w:r>
      <w:r w:rsidR="001E268F" w:rsidRPr="001E268F">
        <w:rPr>
          <w:rFonts w:ascii="FrankRuehl" w:hAnsi="FrankRuehl" w:cs="FrankRuehl"/>
          <w:sz w:val="28"/>
          <w:szCs w:val="28"/>
          <w:rtl/>
        </w:rPr>
        <w:t xml:space="preserve">צרכי סף מינימליים לקטין </w:t>
      </w:r>
      <w:r w:rsidR="00633A53">
        <w:rPr>
          <w:rFonts w:ascii="FrankRuehl" w:hAnsi="FrankRuehl" w:cs="FrankRuehl" w:hint="cs"/>
          <w:sz w:val="28"/>
          <w:szCs w:val="28"/>
          <w:rtl/>
        </w:rPr>
        <w:t xml:space="preserve">נפסקו </w:t>
      </w:r>
      <w:r w:rsidR="001E268F" w:rsidRPr="001E268F">
        <w:rPr>
          <w:rFonts w:ascii="FrankRuehl" w:hAnsi="FrankRuehl" w:cs="FrankRuehl"/>
          <w:sz w:val="28"/>
          <w:szCs w:val="28"/>
          <w:rtl/>
        </w:rPr>
        <w:t>בסך 1,3</w:t>
      </w:r>
      <w:r w:rsidR="00633A53">
        <w:rPr>
          <w:rFonts w:ascii="FrankRuehl" w:hAnsi="FrankRuehl" w:cs="FrankRuehl"/>
          <w:sz w:val="28"/>
          <w:szCs w:val="28"/>
          <w:rtl/>
        </w:rPr>
        <w:t xml:space="preserve">00-1,700 ₪ לחודש כולל </w:t>
      </w:r>
      <w:r w:rsidR="001E268F" w:rsidRPr="001E268F">
        <w:rPr>
          <w:rFonts w:ascii="FrankRuehl" w:hAnsi="FrankRuehl" w:cs="FrankRuehl"/>
          <w:sz w:val="28"/>
          <w:szCs w:val="28"/>
          <w:rtl/>
        </w:rPr>
        <w:t xml:space="preserve">לא כולל מדור. ראו עמ"ש 46291-01-16 </w:t>
      </w:r>
      <w:r w:rsidR="001E268F" w:rsidRPr="001E268F">
        <w:rPr>
          <w:rFonts w:ascii="FrankRuehl" w:hAnsi="FrankRuehl" w:cs="FrankRuehl"/>
          <w:b/>
          <w:bCs/>
          <w:sz w:val="28"/>
          <w:szCs w:val="28"/>
          <w:rtl/>
        </w:rPr>
        <w:t>פלונית נ' פלוני</w:t>
      </w:r>
      <w:r w:rsidR="001E268F" w:rsidRPr="001E268F">
        <w:rPr>
          <w:rFonts w:ascii="FrankRuehl" w:hAnsi="FrankRuehl" w:cs="FrankRuehl"/>
          <w:sz w:val="28"/>
          <w:szCs w:val="28"/>
          <w:rtl/>
        </w:rPr>
        <w:t xml:space="preserve"> מיום 09.10.2017; עמ"ש 44496-10-20 </w:t>
      </w:r>
      <w:r w:rsidR="001E268F" w:rsidRPr="001E268F">
        <w:rPr>
          <w:rFonts w:ascii="FrankRuehl" w:hAnsi="FrankRuehl" w:cs="FrankRuehl"/>
          <w:b/>
          <w:bCs/>
          <w:sz w:val="28"/>
          <w:szCs w:val="28"/>
          <w:rtl/>
        </w:rPr>
        <w:t>א.נ' ב.</w:t>
      </w:r>
      <w:r w:rsidR="001E268F" w:rsidRPr="001E268F">
        <w:rPr>
          <w:rFonts w:ascii="FrankRuehl" w:hAnsi="FrankRuehl" w:cs="FrankRuehl"/>
          <w:sz w:val="28"/>
          <w:szCs w:val="28"/>
          <w:rtl/>
        </w:rPr>
        <w:t xml:space="preserve"> מיום 11.8.20. </w:t>
      </w:r>
      <w:r w:rsidR="00633A53">
        <w:rPr>
          <w:rFonts w:ascii="FrankRuehl" w:hAnsi="FrankRuehl" w:cs="FrankRuehl" w:hint="cs"/>
          <w:sz w:val="28"/>
          <w:szCs w:val="28"/>
          <w:rtl/>
        </w:rPr>
        <w:t>ה</w:t>
      </w:r>
      <w:r w:rsidR="001E268F" w:rsidRPr="001E268F">
        <w:rPr>
          <w:rFonts w:ascii="FrankRuehl" w:hAnsi="FrankRuehl" w:cs="FrankRuehl"/>
          <w:sz w:val="28"/>
          <w:szCs w:val="28"/>
          <w:rtl/>
        </w:rPr>
        <w:t xml:space="preserve">סכומים </w:t>
      </w:r>
      <w:r w:rsidR="00633A53">
        <w:rPr>
          <w:rFonts w:ascii="FrankRuehl" w:hAnsi="FrankRuehl" w:cs="FrankRuehl" w:hint="cs"/>
          <w:sz w:val="28"/>
          <w:szCs w:val="28"/>
          <w:rtl/>
        </w:rPr>
        <w:t xml:space="preserve">נפסקו </w:t>
      </w:r>
      <w:r w:rsidR="001E268F" w:rsidRPr="001E268F">
        <w:rPr>
          <w:rFonts w:ascii="FrankRuehl" w:hAnsi="FrankRuehl" w:cs="FrankRuehl"/>
          <w:sz w:val="28"/>
          <w:szCs w:val="28"/>
          <w:rtl/>
        </w:rPr>
        <w:t xml:space="preserve">לאחר שנלקחו בחשבון התמורות במהלך השנים, עליית מחירים, רמת שכר שעלתה, שכר המינימום שעלה וכיוצ"ב. סכומים אלו כוללים </w:t>
      </w:r>
      <w:r w:rsidR="002C5AAC">
        <w:rPr>
          <w:rFonts w:ascii="FrankRuehl" w:hAnsi="FrankRuehl" w:cs="FrankRuehl" w:hint="cs"/>
          <w:sz w:val="28"/>
          <w:szCs w:val="28"/>
          <w:rtl/>
        </w:rPr>
        <w:t xml:space="preserve">את כל צרכי הקטין ההכרחיים. </w:t>
      </w:r>
    </w:p>
    <w:p w:rsidR="00023B59" w:rsidRDefault="00023B59" w:rsidP="002C5AAC">
      <w:pPr>
        <w:spacing w:after="160" w:line="360" w:lineRule="auto"/>
        <w:ind w:left="425" w:hanging="425"/>
        <w:contextualSpacing/>
        <w:jc w:val="both"/>
        <w:rPr>
          <w:rFonts w:ascii="FrankRuehl" w:hAnsi="FrankRuehl" w:cs="FrankRuehl"/>
          <w:sz w:val="28"/>
          <w:szCs w:val="28"/>
          <w:rtl/>
        </w:rPr>
      </w:pPr>
    </w:p>
    <w:p w:rsidR="001E268F" w:rsidRPr="001E268F" w:rsidRDefault="00E134AC" w:rsidP="00633A53">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23.</w:t>
      </w:r>
      <w:r>
        <w:rPr>
          <w:rFonts w:ascii="FrankRuehl" w:hAnsi="FrankRuehl" w:cs="FrankRuehl" w:hint="cs"/>
          <w:sz w:val="28"/>
          <w:szCs w:val="28"/>
          <w:rtl/>
        </w:rPr>
        <w:tab/>
      </w:r>
      <w:r w:rsidR="001E268F" w:rsidRPr="001E268F">
        <w:rPr>
          <w:rFonts w:ascii="FrankRuehl" w:hAnsi="FrankRuehl" w:cs="FrankRuehl"/>
          <w:sz w:val="28"/>
          <w:szCs w:val="28"/>
          <w:rtl/>
        </w:rPr>
        <w:t xml:space="preserve">סכומים דומים </w:t>
      </w:r>
      <w:r w:rsidR="00023B59">
        <w:rPr>
          <w:rFonts w:ascii="FrankRuehl" w:hAnsi="FrankRuehl" w:cs="FrankRuehl" w:hint="cs"/>
          <w:sz w:val="28"/>
          <w:szCs w:val="28"/>
          <w:rtl/>
        </w:rPr>
        <w:t xml:space="preserve">נפסקו </w:t>
      </w:r>
      <w:r w:rsidR="001E268F" w:rsidRPr="001E268F">
        <w:rPr>
          <w:rFonts w:ascii="FrankRuehl" w:hAnsi="FrankRuehl" w:cs="FrankRuehl"/>
          <w:sz w:val="28"/>
          <w:szCs w:val="28"/>
          <w:rtl/>
        </w:rPr>
        <w:t>ב</w:t>
      </w:r>
      <w:r w:rsidR="00023B59">
        <w:rPr>
          <w:rFonts w:ascii="FrankRuehl" w:hAnsi="FrankRuehl" w:cs="FrankRuehl" w:hint="cs"/>
          <w:sz w:val="28"/>
          <w:szCs w:val="28"/>
          <w:rtl/>
        </w:rPr>
        <w:t>פ</w:t>
      </w:r>
      <w:r w:rsidR="001E268F" w:rsidRPr="001E268F">
        <w:rPr>
          <w:rFonts w:ascii="FrankRuehl" w:hAnsi="FrankRuehl" w:cs="FrankRuehl"/>
          <w:sz w:val="28"/>
          <w:szCs w:val="28"/>
          <w:rtl/>
        </w:rPr>
        <w:t xml:space="preserve">סקי דין </w:t>
      </w:r>
      <w:r w:rsidR="00023B59">
        <w:rPr>
          <w:rFonts w:ascii="FrankRuehl" w:hAnsi="FrankRuehl" w:cs="FrankRuehl" w:hint="cs"/>
          <w:sz w:val="28"/>
          <w:szCs w:val="28"/>
          <w:rtl/>
        </w:rPr>
        <w:t xml:space="preserve">נוספים </w:t>
      </w:r>
      <w:r w:rsidR="001E268F" w:rsidRPr="001E268F">
        <w:rPr>
          <w:rFonts w:ascii="FrankRuehl" w:hAnsi="FrankRuehl" w:cs="FrankRuehl"/>
          <w:sz w:val="28"/>
          <w:szCs w:val="28"/>
          <w:rtl/>
        </w:rPr>
        <w:t xml:space="preserve">שעסקו בקטין </w:t>
      </w:r>
      <w:r w:rsidR="00023B59">
        <w:rPr>
          <w:rFonts w:ascii="FrankRuehl" w:hAnsi="FrankRuehl" w:cs="FrankRuehl" w:hint="cs"/>
          <w:sz w:val="28"/>
          <w:szCs w:val="28"/>
          <w:rtl/>
        </w:rPr>
        <w:t xml:space="preserve">שהורגל </w:t>
      </w:r>
      <w:r w:rsidR="001E268F" w:rsidRPr="001E268F">
        <w:rPr>
          <w:rFonts w:ascii="FrankRuehl" w:hAnsi="FrankRuehl" w:cs="FrankRuehl"/>
          <w:sz w:val="28"/>
          <w:szCs w:val="28"/>
          <w:rtl/>
        </w:rPr>
        <w:t>לרמת חיים "רגילה" ושאינו מתגורר בשני בתים</w:t>
      </w:r>
      <w:r>
        <w:rPr>
          <w:rFonts w:ascii="FrankRuehl" w:hAnsi="FrankRuehl" w:cs="FrankRuehl" w:hint="cs"/>
          <w:sz w:val="28"/>
          <w:szCs w:val="28"/>
          <w:rtl/>
        </w:rPr>
        <w:t xml:space="preserve">. ראו בין היתר, עמ"ש 12792-10-19 </w:t>
      </w:r>
      <w:r w:rsidR="000830C0">
        <w:rPr>
          <w:rFonts w:ascii="FrankRuehl" w:hAnsi="FrankRuehl" w:cs="FrankRuehl" w:hint="cs"/>
          <w:sz w:val="28"/>
          <w:szCs w:val="28"/>
          <w:rtl/>
        </w:rPr>
        <w:t xml:space="preserve">(ת"א) </w:t>
      </w:r>
      <w:r>
        <w:rPr>
          <w:rFonts w:ascii="FrankRuehl" w:hAnsi="FrankRuehl" w:cs="FrankRuehl" w:hint="cs"/>
          <w:sz w:val="28"/>
          <w:szCs w:val="28"/>
          <w:rtl/>
        </w:rPr>
        <w:t>ע.נ. נ' ע.ע.נ. מיום 27.10.2020; עמ"ש</w:t>
      </w:r>
      <w:r w:rsidR="000830C0">
        <w:rPr>
          <w:rFonts w:ascii="FrankRuehl" w:hAnsi="FrankRuehl" w:cs="FrankRuehl" w:hint="cs"/>
          <w:sz w:val="28"/>
          <w:szCs w:val="28"/>
          <w:rtl/>
        </w:rPr>
        <w:t xml:space="preserve"> (מרכז) </w:t>
      </w:r>
      <w:r>
        <w:rPr>
          <w:rFonts w:ascii="FrankRuehl" w:hAnsi="FrankRuehl" w:cs="FrankRuehl" w:hint="cs"/>
          <w:sz w:val="28"/>
          <w:szCs w:val="28"/>
          <w:rtl/>
        </w:rPr>
        <w:t>65692-11-19 ד.ס. נ' ל.צ.ס., סעיפים 22-23 לפסה"ד מיום 22.09.2022; עמ"ש</w:t>
      </w:r>
      <w:r w:rsidR="000830C0">
        <w:rPr>
          <w:rFonts w:ascii="FrankRuehl" w:hAnsi="FrankRuehl" w:cs="FrankRuehl" w:hint="cs"/>
          <w:sz w:val="28"/>
          <w:szCs w:val="28"/>
          <w:rtl/>
        </w:rPr>
        <w:t xml:space="preserve"> (חי)</w:t>
      </w:r>
      <w:r>
        <w:rPr>
          <w:rFonts w:ascii="FrankRuehl" w:hAnsi="FrankRuehl" w:cs="FrankRuehl" w:hint="cs"/>
          <w:sz w:val="28"/>
          <w:szCs w:val="28"/>
          <w:rtl/>
        </w:rPr>
        <w:t xml:space="preserve"> 560</w:t>
      </w:r>
      <w:r w:rsidR="000830C0">
        <w:rPr>
          <w:rFonts w:ascii="FrankRuehl" w:hAnsi="FrankRuehl" w:cs="FrankRuehl" w:hint="cs"/>
          <w:sz w:val="28"/>
          <w:szCs w:val="28"/>
          <w:rtl/>
        </w:rPr>
        <w:t xml:space="preserve">00-10-18 </w:t>
      </w:r>
      <w:r w:rsidR="001E268F" w:rsidRPr="001E268F">
        <w:rPr>
          <w:rFonts w:ascii="FrankRuehl" w:hAnsi="FrankRuehl" w:cs="FrankRuehl"/>
          <w:sz w:val="28"/>
          <w:szCs w:val="28"/>
          <w:rtl/>
        </w:rPr>
        <w:t xml:space="preserve"> </w:t>
      </w:r>
      <w:r w:rsidR="001E268F" w:rsidRPr="001E268F">
        <w:rPr>
          <w:rFonts w:ascii="FrankRuehl" w:hAnsi="FrankRuehl" w:cs="FrankRuehl"/>
          <w:b/>
          <w:bCs/>
          <w:sz w:val="28"/>
          <w:szCs w:val="28"/>
          <w:rtl/>
        </w:rPr>
        <w:t xml:space="preserve">פלוני נ' פלונית </w:t>
      </w:r>
      <w:r w:rsidR="001E268F" w:rsidRPr="001E268F">
        <w:rPr>
          <w:rFonts w:ascii="FrankRuehl" w:hAnsi="FrankRuehl" w:cs="FrankRuehl"/>
          <w:sz w:val="28"/>
          <w:szCs w:val="28"/>
          <w:rtl/>
        </w:rPr>
        <w:t>סעיף 47 לפסה"ד מיום 31.01.2019.</w:t>
      </w:r>
      <w:r w:rsidR="00633A53">
        <w:rPr>
          <w:rFonts w:ascii="FrankRuehl" w:hAnsi="FrankRuehl" w:cs="FrankRuehl" w:hint="cs"/>
          <w:sz w:val="28"/>
          <w:szCs w:val="28"/>
          <w:rtl/>
        </w:rPr>
        <w:t xml:space="preserve"> </w:t>
      </w:r>
      <w:r w:rsidR="001E268F" w:rsidRPr="001E268F">
        <w:rPr>
          <w:rFonts w:ascii="FrankRuehl" w:hAnsi="FrankRuehl" w:cs="FrankRuehl"/>
          <w:sz w:val="28"/>
          <w:szCs w:val="28"/>
          <w:rtl/>
        </w:rPr>
        <w:t xml:space="preserve">בעמ"ש (ת"א) 1180-05-14 </w:t>
      </w:r>
      <w:r w:rsidR="001E268F" w:rsidRPr="001E268F">
        <w:rPr>
          <w:rFonts w:ascii="FrankRuehl" w:hAnsi="FrankRuehl" w:cs="FrankRuehl"/>
          <w:b/>
          <w:bCs/>
          <w:sz w:val="28"/>
          <w:szCs w:val="28"/>
          <w:rtl/>
        </w:rPr>
        <w:t>א.א. נ' מ.א.</w:t>
      </w:r>
      <w:r w:rsidR="001E268F" w:rsidRPr="001E268F">
        <w:rPr>
          <w:rFonts w:ascii="FrankRuehl" w:hAnsi="FrankRuehl" w:cs="FrankRuehl"/>
          <w:sz w:val="28"/>
          <w:szCs w:val="28"/>
          <w:rtl/>
        </w:rPr>
        <w:t>, מיום 26.3.2015 עמוד 4 לפסה"ד נאמר כי:</w:t>
      </w:r>
    </w:p>
    <w:p w:rsidR="001E268F" w:rsidRPr="003402C6" w:rsidRDefault="001E268F" w:rsidP="001E268F">
      <w:pPr>
        <w:ind w:left="1360" w:right="1134"/>
        <w:jc w:val="both"/>
        <w:rPr>
          <w:rFonts w:ascii="Miriam" w:eastAsia="Calibri" w:hAnsi="Miriam" w:cs="Miriam"/>
          <w:rtl/>
        </w:rPr>
      </w:pPr>
    </w:p>
    <w:p w:rsidR="001E268F" w:rsidRPr="003402C6" w:rsidRDefault="001E268F" w:rsidP="001E268F">
      <w:pPr>
        <w:ind w:left="1360" w:right="1134"/>
        <w:jc w:val="both"/>
        <w:rPr>
          <w:rFonts w:ascii="Miriam" w:eastAsia="Calibri" w:hAnsi="Miriam" w:cs="Miriam"/>
          <w:noProof w:val="0"/>
        </w:rPr>
      </w:pPr>
      <w:r w:rsidRPr="003402C6">
        <w:rPr>
          <w:rFonts w:ascii="Miriam" w:eastAsia="Calibri" w:hAnsi="Miriam" w:cs="Miriam"/>
          <w:rtl/>
        </w:rPr>
        <w:t>"הסכומים עליהם הועמדו הצרכים ההכרחיים לא נקבעו על בסיס מחקרי או כלכלי כלשהו... ומהווים חזקה שניתנת לסתירה בהתקיים נסיבות מיוחדות/חריגות בהקשר לתא המשפחתי הספציפי והקטינים במסגרתו, שעניינם עומד לדיון. ייתכנו בהחלט מקרים בהם מוכח (והנטל על מי שטוען זאת), כי הצרכים ההכרחיים של משק הבית שעניינו עומד לדיון נמוכים יותר מהסכומים שנקבעו ככאלה, מה שמשפיע על גובה צרכי הקטנים כלפי מטה...".</w:t>
      </w:r>
    </w:p>
    <w:p w:rsidR="001E268F" w:rsidRPr="001E268F" w:rsidRDefault="000830C0" w:rsidP="00D63091">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2</w:t>
      </w:r>
      <w:r w:rsidR="00D63091">
        <w:rPr>
          <w:rFonts w:ascii="FrankRuehl" w:hAnsi="FrankRuehl" w:cs="FrankRuehl" w:hint="cs"/>
          <w:sz w:val="28"/>
          <w:szCs w:val="28"/>
          <w:rtl/>
        </w:rPr>
        <w:t>4</w:t>
      </w:r>
      <w:r w:rsidR="001E268F">
        <w:rPr>
          <w:rFonts w:ascii="FrankRuehl" w:hAnsi="FrankRuehl" w:cs="FrankRuehl" w:hint="cs"/>
          <w:sz w:val="28"/>
          <w:szCs w:val="28"/>
          <w:rtl/>
        </w:rPr>
        <w:t>.</w:t>
      </w:r>
      <w:r w:rsidR="001E268F">
        <w:rPr>
          <w:rFonts w:ascii="FrankRuehl" w:hAnsi="FrankRuehl" w:cs="FrankRuehl" w:hint="cs"/>
          <w:sz w:val="28"/>
          <w:szCs w:val="28"/>
          <w:rtl/>
        </w:rPr>
        <w:tab/>
      </w:r>
      <w:r w:rsidR="001E268F" w:rsidRPr="001E268F">
        <w:rPr>
          <w:rFonts w:ascii="FrankRuehl" w:eastAsia="Calibri" w:hAnsi="FrankRuehl" w:cs="FrankRuehl"/>
          <w:sz w:val="28"/>
          <w:szCs w:val="28"/>
          <w:rtl/>
        </w:rPr>
        <w:t>נפסק כי על ההורים</w:t>
      </w:r>
      <w:r w:rsidR="00023B59">
        <w:rPr>
          <w:rFonts w:ascii="FrankRuehl" w:eastAsia="Calibri" w:hAnsi="FrankRuehl" w:cs="FrankRuehl" w:hint="cs"/>
          <w:sz w:val="28"/>
          <w:szCs w:val="28"/>
          <w:rtl/>
        </w:rPr>
        <w:t>,</w:t>
      </w:r>
      <w:r w:rsidR="001E268F" w:rsidRPr="001E268F">
        <w:rPr>
          <w:rFonts w:ascii="FrankRuehl" w:eastAsia="Calibri" w:hAnsi="FrankRuehl" w:cs="FrankRuehl"/>
          <w:sz w:val="28"/>
          <w:szCs w:val="28"/>
          <w:rtl/>
        </w:rPr>
        <w:t xml:space="preserve"> לספק לילדיהם את רמת החיים אליה הורגלו. ראו רע"א 324/88 </w:t>
      </w:r>
      <w:r w:rsidR="001E268F" w:rsidRPr="001E268F">
        <w:rPr>
          <w:rFonts w:ascii="FrankRuehl" w:eastAsia="Calibri" w:hAnsi="FrankRuehl" w:cs="FrankRuehl"/>
          <w:b/>
          <w:bCs/>
          <w:sz w:val="28"/>
          <w:szCs w:val="28"/>
          <w:rtl/>
        </w:rPr>
        <w:t>אדר נ' אדר</w:t>
      </w:r>
      <w:r w:rsidR="00622D2C">
        <w:rPr>
          <w:rFonts w:ascii="FrankRuehl" w:eastAsia="Calibri" w:hAnsi="FrankRuehl" w:cs="FrankRuehl"/>
          <w:sz w:val="28"/>
          <w:szCs w:val="28"/>
          <w:rtl/>
        </w:rPr>
        <w:t>, פד"י מב(3) 347, 351.</w:t>
      </w:r>
    </w:p>
    <w:p w:rsidR="001E268F" w:rsidRPr="001E268F" w:rsidRDefault="001E268F" w:rsidP="001E268F">
      <w:pPr>
        <w:spacing w:after="160" w:line="360" w:lineRule="auto"/>
        <w:ind w:left="425" w:hanging="425"/>
        <w:contextualSpacing/>
        <w:jc w:val="both"/>
        <w:rPr>
          <w:rFonts w:ascii="FrankRuehl" w:hAnsi="FrankRuehl" w:cs="FrankRuehl"/>
          <w:sz w:val="28"/>
          <w:szCs w:val="28"/>
        </w:rPr>
      </w:pPr>
    </w:p>
    <w:p w:rsidR="001E268F" w:rsidRDefault="001E268F" w:rsidP="00D63091">
      <w:pPr>
        <w:spacing w:after="160" w:line="360" w:lineRule="auto"/>
        <w:ind w:left="425" w:hanging="425"/>
        <w:contextualSpacing/>
        <w:jc w:val="both"/>
        <w:rPr>
          <w:rFonts w:ascii="FrankRuehl" w:eastAsia="Calibri" w:hAnsi="FrankRuehl" w:cs="FrankRuehl"/>
          <w:sz w:val="28"/>
          <w:szCs w:val="28"/>
          <w:rtl/>
        </w:rPr>
      </w:pPr>
      <w:r w:rsidRPr="001E268F">
        <w:rPr>
          <w:rFonts w:ascii="FrankRuehl" w:hAnsi="FrankRuehl" w:cs="FrankRuehl"/>
          <w:sz w:val="28"/>
          <w:szCs w:val="28"/>
          <w:rtl/>
        </w:rPr>
        <w:t>2</w:t>
      </w:r>
      <w:r w:rsidR="00D63091">
        <w:rPr>
          <w:rFonts w:ascii="FrankRuehl" w:hAnsi="FrankRuehl" w:cs="FrankRuehl" w:hint="cs"/>
          <w:sz w:val="28"/>
          <w:szCs w:val="28"/>
          <w:rtl/>
        </w:rPr>
        <w:t>5</w:t>
      </w:r>
      <w:r w:rsidRPr="001E268F">
        <w:rPr>
          <w:rFonts w:ascii="FrankRuehl" w:hAnsi="FrankRuehl" w:cs="FrankRuehl"/>
          <w:sz w:val="28"/>
          <w:szCs w:val="28"/>
          <w:rtl/>
        </w:rPr>
        <w:t>.</w:t>
      </w:r>
      <w:r w:rsidRPr="001E268F">
        <w:rPr>
          <w:rFonts w:ascii="FrankRuehl" w:hAnsi="FrankRuehl" w:cs="FrankRuehl"/>
          <w:sz w:val="28"/>
          <w:szCs w:val="28"/>
          <w:rtl/>
        </w:rPr>
        <w:tab/>
      </w:r>
      <w:r w:rsidRPr="001E268F">
        <w:rPr>
          <w:rFonts w:ascii="FrankRuehl" w:hAnsi="FrankRuehl" w:cs="FrankRuehl"/>
          <w:b/>
          <w:bCs/>
          <w:sz w:val="28"/>
          <w:szCs w:val="28"/>
          <w:rtl/>
        </w:rPr>
        <w:t xml:space="preserve">נוסף על כך, המדיניות המשפטית הרצויה היא ליישם את </w:t>
      </w:r>
      <w:r w:rsidRPr="001E268F">
        <w:rPr>
          <w:rFonts w:ascii="FrankRuehl" w:hAnsi="FrankRuehl" w:cs="FrankRuehl"/>
          <w:b/>
          <w:bCs/>
          <w:sz w:val="28"/>
          <w:szCs w:val="28"/>
          <w:u w:val="single"/>
          <w:rtl/>
        </w:rPr>
        <w:t>עִקרון השוויון המגדרי</w:t>
      </w:r>
      <w:r w:rsidRPr="001E268F">
        <w:rPr>
          <w:rFonts w:ascii="FrankRuehl" w:hAnsi="FrankRuehl" w:cs="FrankRuehl"/>
          <w:b/>
          <w:bCs/>
          <w:sz w:val="28"/>
          <w:szCs w:val="28"/>
          <w:rtl/>
        </w:rPr>
        <w:t xml:space="preserve"> כך שיימצא ביטויו גם בחיוב דמי מזונות על פי הדין האישי - תוך ראיית התא המשפחתי בכללותו, הכנסות שני ההורים, זמני השהות ורמת חיים אליה הורגל</w:t>
      </w:r>
      <w:r w:rsidR="00B837C6">
        <w:rPr>
          <w:rFonts w:ascii="FrankRuehl" w:hAnsi="FrankRuehl" w:cs="FrankRuehl" w:hint="cs"/>
          <w:b/>
          <w:bCs/>
          <w:sz w:val="28"/>
          <w:szCs w:val="28"/>
          <w:rtl/>
        </w:rPr>
        <w:t>ה</w:t>
      </w:r>
      <w:r w:rsidRPr="001E268F">
        <w:rPr>
          <w:rFonts w:ascii="FrankRuehl" w:hAnsi="FrankRuehl" w:cs="FrankRuehl"/>
          <w:b/>
          <w:bCs/>
          <w:sz w:val="28"/>
          <w:szCs w:val="28"/>
          <w:rtl/>
        </w:rPr>
        <w:t xml:space="preserve"> הקטינה</w:t>
      </w:r>
      <w:r w:rsidR="000830C0">
        <w:rPr>
          <w:rFonts w:ascii="FrankRuehl" w:hAnsi="FrankRuehl" w:cs="FrankRuehl" w:hint="cs"/>
          <w:sz w:val="28"/>
          <w:szCs w:val="28"/>
          <w:rtl/>
        </w:rPr>
        <w:t xml:space="preserve"> </w:t>
      </w:r>
      <w:r w:rsidR="000830C0">
        <w:rPr>
          <w:rFonts w:ascii="FrankRuehl" w:hAnsi="FrankRuehl" w:cs="FrankRuehl"/>
          <w:sz w:val="28"/>
          <w:szCs w:val="28"/>
          <w:rtl/>
        </w:rPr>
        <w:t>–</w:t>
      </w:r>
      <w:r w:rsidR="000830C0">
        <w:rPr>
          <w:rFonts w:ascii="FrankRuehl" w:hAnsi="FrankRuehl" w:cs="FrankRuehl" w:hint="cs"/>
          <w:sz w:val="28"/>
          <w:szCs w:val="28"/>
          <w:rtl/>
        </w:rPr>
        <w:t xml:space="preserve"> על ידי צמצום </w:t>
      </w:r>
      <w:r w:rsidRPr="001E268F">
        <w:rPr>
          <w:rFonts w:ascii="FrankRuehl" w:hAnsi="FrankRuehl" w:cs="FrankRuehl"/>
          <w:sz w:val="28"/>
          <w:szCs w:val="28"/>
          <w:rtl/>
        </w:rPr>
        <w:t xml:space="preserve">הצרכים </w:t>
      </w:r>
      <w:r w:rsidR="000830C0">
        <w:rPr>
          <w:rFonts w:ascii="FrankRuehl" w:hAnsi="FrankRuehl" w:cs="FrankRuehl" w:hint="cs"/>
          <w:sz w:val="28"/>
          <w:szCs w:val="28"/>
          <w:rtl/>
        </w:rPr>
        <w:t xml:space="preserve">בהם יחויב החייב במזונות, צמצום שכזה </w:t>
      </w:r>
      <w:r w:rsidRPr="001E268F">
        <w:rPr>
          <w:rFonts w:ascii="FrankRuehl" w:hAnsi="FrankRuehl" w:cs="FrankRuehl"/>
          <w:sz w:val="28"/>
          <w:szCs w:val="28"/>
          <w:rtl/>
        </w:rPr>
        <w:t xml:space="preserve">עולה בקנה אחד </w:t>
      </w:r>
      <w:r w:rsidR="000830C0">
        <w:rPr>
          <w:rFonts w:ascii="FrankRuehl" w:hAnsi="FrankRuehl" w:cs="FrankRuehl" w:hint="cs"/>
          <w:sz w:val="28"/>
          <w:szCs w:val="28"/>
          <w:rtl/>
        </w:rPr>
        <w:t xml:space="preserve">עם </w:t>
      </w:r>
      <w:r w:rsidRPr="001E268F">
        <w:rPr>
          <w:rFonts w:ascii="FrankRuehl" w:hAnsi="FrankRuehl" w:cs="FrankRuehl"/>
          <w:sz w:val="28"/>
          <w:szCs w:val="28"/>
          <w:rtl/>
        </w:rPr>
        <w:t>ערך השוויון</w:t>
      </w:r>
      <w:r w:rsidR="000830C0">
        <w:rPr>
          <w:rFonts w:ascii="FrankRuehl" w:hAnsi="FrankRuehl" w:cs="FrankRuehl" w:hint="cs"/>
          <w:sz w:val="28"/>
          <w:szCs w:val="28"/>
          <w:rtl/>
        </w:rPr>
        <w:t xml:space="preserve"> </w:t>
      </w:r>
      <w:r w:rsidRPr="001E268F">
        <w:rPr>
          <w:rFonts w:ascii="FrankRuehl" w:hAnsi="FrankRuehl" w:cs="FrankRuehl"/>
          <w:sz w:val="28"/>
          <w:szCs w:val="28"/>
          <w:rtl/>
        </w:rPr>
        <w:t>ותיושם מדיניות ע</w:t>
      </w:r>
      <w:r w:rsidR="00622D2C">
        <w:rPr>
          <w:rFonts w:ascii="FrankRuehl" w:hAnsi="FrankRuehl" w:cs="FrankRuehl" w:hint="cs"/>
          <w:sz w:val="28"/>
          <w:szCs w:val="28"/>
          <w:rtl/>
        </w:rPr>
        <w:t>ִ</w:t>
      </w:r>
      <w:r w:rsidRPr="001E268F">
        <w:rPr>
          <w:rFonts w:ascii="FrankRuehl" w:hAnsi="FrankRuehl" w:cs="FrankRuehl"/>
          <w:sz w:val="28"/>
          <w:szCs w:val="28"/>
          <w:rtl/>
        </w:rPr>
        <w:t xml:space="preserve">קרון שוויון מגדרי. ראו 44496-10-20 </w:t>
      </w:r>
      <w:r w:rsidRPr="001E268F">
        <w:rPr>
          <w:rFonts w:ascii="FrankRuehl" w:hAnsi="FrankRuehl" w:cs="FrankRuehl"/>
          <w:b/>
          <w:bCs/>
          <w:sz w:val="28"/>
          <w:szCs w:val="28"/>
          <w:rtl/>
        </w:rPr>
        <w:t>א נ' ב</w:t>
      </w:r>
      <w:r w:rsidRPr="001E268F">
        <w:rPr>
          <w:rFonts w:ascii="FrankRuehl" w:hAnsi="FrankRuehl" w:cs="FrankRuehl"/>
          <w:sz w:val="28"/>
          <w:szCs w:val="28"/>
          <w:rtl/>
        </w:rPr>
        <w:t xml:space="preserve"> מיום 11.8.21, פסה"ד של השופט סילמן שם המפנה לסעיף 27 בעמ"ש חיפה 12752-03-19 </w:t>
      </w:r>
      <w:r w:rsidRPr="001E268F">
        <w:rPr>
          <w:rFonts w:ascii="FrankRuehl" w:hAnsi="FrankRuehl" w:cs="FrankRuehl"/>
          <w:b/>
          <w:bCs/>
          <w:sz w:val="28"/>
          <w:szCs w:val="28"/>
          <w:rtl/>
        </w:rPr>
        <w:t>פלוני נ' אלמונית</w:t>
      </w:r>
      <w:r w:rsidRPr="001E268F">
        <w:rPr>
          <w:rFonts w:ascii="FrankRuehl" w:hAnsi="FrankRuehl" w:cs="FrankRuehl"/>
          <w:sz w:val="28"/>
          <w:szCs w:val="28"/>
          <w:rtl/>
        </w:rPr>
        <w:t xml:space="preserve">, מיום </w:t>
      </w:r>
      <w:r w:rsidR="00622D2C">
        <w:rPr>
          <w:rFonts w:ascii="FrankRuehl" w:hAnsi="FrankRuehl" w:cs="FrankRuehl" w:hint="cs"/>
          <w:sz w:val="28"/>
          <w:szCs w:val="28"/>
          <w:rtl/>
        </w:rPr>
        <w:t>0</w:t>
      </w:r>
      <w:r w:rsidRPr="001E268F">
        <w:rPr>
          <w:rFonts w:ascii="FrankRuehl" w:hAnsi="FrankRuehl" w:cs="FrankRuehl"/>
          <w:sz w:val="28"/>
          <w:szCs w:val="28"/>
          <w:rtl/>
        </w:rPr>
        <w:t>9.</w:t>
      </w:r>
      <w:r w:rsidR="00622D2C">
        <w:rPr>
          <w:rFonts w:ascii="FrankRuehl" w:hAnsi="FrankRuehl" w:cs="FrankRuehl" w:hint="cs"/>
          <w:sz w:val="28"/>
          <w:szCs w:val="28"/>
          <w:rtl/>
        </w:rPr>
        <w:t>0</w:t>
      </w:r>
      <w:r w:rsidRPr="001E268F">
        <w:rPr>
          <w:rFonts w:ascii="FrankRuehl" w:hAnsi="FrankRuehl" w:cs="FrankRuehl"/>
          <w:sz w:val="28"/>
          <w:szCs w:val="28"/>
          <w:rtl/>
        </w:rPr>
        <w:t xml:space="preserve">7.19. עוד נאמר שם </w:t>
      </w:r>
      <w:r w:rsidRPr="000830C0">
        <w:rPr>
          <w:rFonts w:ascii="Miriam" w:hAnsi="Miriam" w:cs="Miriam"/>
          <w:rtl/>
        </w:rPr>
        <w:t>"לעתים תחשיב המהווה חיבור של צרכים, גם אם כולם 'הכרחיים', יביא תוצאות בלתי אפשריות ויותיר החייב במזונות ללא אמצעי מחיה סבירים".</w:t>
      </w:r>
      <w:r w:rsidRPr="001E268F">
        <w:rPr>
          <w:rFonts w:ascii="FrankRuehl" w:eastAsia="Calibri" w:hAnsi="FrankRuehl" w:cs="FrankRuehl"/>
          <w:sz w:val="28"/>
          <w:szCs w:val="28"/>
          <w:rtl/>
        </w:rPr>
        <w:t xml:space="preserve"> ראו גם פסק דיני בתלה"מ (חיפה) 34699-10-20 </w:t>
      </w:r>
      <w:r w:rsidRPr="001E268F">
        <w:rPr>
          <w:rFonts w:ascii="FrankRuehl" w:eastAsia="Calibri" w:hAnsi="FrankRuehl" w:cs="FrankRuehl"/>
          <w:b/>
          <w:bCs/>
          <w:sz w:val="28"/>
          <w:szCs w:val="28"/>
          <w:rtl/>
        </w:rPr>
        <w:t>ס.ל נ' ס.א</w:t>
      </w:r>
      <w:r w:rsidRPr="001E268F">
        <w:rPr>
          <w:rFonts w:ascii="FrankRuehl" w:eastAsia="Calibri" w:hAnsi="FrankRuehl" w:cs="FrankRuehl"/>
          <w:sz w:val="28"/>
          <w:szCs w:val="28"/>
          <w:rtl/>
        </w:rPr>
        <w:t xml:space="preserve"> מיום 30.8.22.</w:t>
      </w:r>
    </w:p>
    <w:p w:rsidR="000830C0" w:rsidRDefault="000830C0" w:rsidP="000830C0">
      <w:pPr>
        <w:spacing w:after="160" w:line="360" w:lineRule="auto"/>
        <w:ind w:left="425" w:hanging="425"/>
        <w:contextualSpacing/>
        <w:jc w:val="both"/>
        <w:rPr>
          <w:rFonts w:ascii="FrankRuehl" w:hAnsi="FrankRuehl" w:cs="FrankRuehl"/>
          <w:sz w:val="28"/>
          <w:szCs w:val="28"/>
          <w:rtl/>
        </w:rPr>
      </w:pPr>
    </w:p>
    <w:p w:rsidR="000830C0" w:rsidRDefault="000830C0" w:rsidP="00622D2C">
      <w:pPr>
        <w:spacing w:after="160" w:line="360" w:lineRule="auto"/>
        <w:ind w:left="425" w:hanging="425"/>
        <w:contextualSpacing/>
        <w:jc w:val="both"/>
        <w:rPr>
          <w:rFonts w:ascii="FrankRuehl" w:hAnsi="FrankRuehl" w:cs="FrankRuehl"/>
          <w:sz w:val="28"/>
          <w:szCs w:val="28"/>
          <w:rtl/>
        </w:rPr>
      </w:pPr>
      <w:r>
        <w:rPr>
          <w:rFonts w:ascii="FrankRuehl" w:hAnsi="FrankRuehl" w:cs="FrankRuehl" w:hint="cs"/>
          <w:sz w:val="28"/>
          <w:szCs w:val="28"/>
          <w:rtl/>
        </w:rPr>
        <w:t>2</w:t>
      </w:r>
      <w:r w:rsidR="00D63091">
        <w:rPr>
          <w:rFonts w:ascii="FrankRuehl" w:hAnsi="FrankRuehl" w:cs="FrankRuehl" w:hint="cs"/>
          <w:sz w:val="28"/>
          <w:szCs w:val="28"/>
          <w:rtl/>
        </w:rPr>
        <w:t>6</w:t>
      </w:r>
      <w:r>
        <w:rPr>
          <w:rFonts w:ascii="FrankRuehl" w:hAnsi="FrankRuehl" w:cs="FrankRuehl" w:hint="cs"/>
          <w:sz w:val="28"/>
          <w:szCs w:val="28"/>
          <w:rtl/>
        </w:rPr>
        <w:t>.</w:t>
      </w:r>
      <w:r>
        <w:rPr>
          <w:rFonts w:ascii="FrankRuehl" w:hAnsi="FrankRuehl" w:cs="FrankRuehl" w:hint="cs"/>
          <w:sz w:val="28"/>
          <w:szCs w:val="28"/>
          <w:rtl/>
        </w:rPr>
        <w:tab/>
        <w:t xml:space="preserve">חרף טענות </w:t>
      </w:r>
      <w:r w:rsidR="00622D2C">
        <w:rPr>
          <w:rFonts w:ascii="FrankRuehl" w:hAnsi="FrankRuehl" w:cs="FrankRuehl" w:hint="cs"/>
          <w:sz w:val="28"/>
          <w:szCs w:val="28"/>
          <w:rtl/>
        </w:rPr>
        <w:t>התובעת לרמת חיים גבוהה, לא הוכח</w:t>
      </w:r>
      <w:r>
        <w:rPr>
          <w:rFonts w:ascii="FrankRuehl" w:hAnsi="FrankRuehl" w:cs="FrankRuehl" w:hint="cs"/>
          <w:sz w:val="28"/>
          <w:szCs w:val="28"/>
          <w:rtl/>
        </w:rPr>
        <w:t xml:space="preserve"> בפני כי הקטינה הורגלה לרמת חיים נטענת שכזו. למעשה ההגיון אומר כי בהינתן שהתאונה בה היה מעורב האב אירעה עת הקטינה היתה כבת שנתיים, ומאותה עת, </w:t>
      </w:r>
      <w:r w:rsidR="00ED24A0">
        <w:rPr>
          <w:rFonts w:ascii="FrankRuehl" w:hAnsi="FrankRuehl" w:cs="FrankRuehl" w:hint="cs"/>
          <w:sz w:val="28"/>
          <w:szCs w:val="28"/>
          <w:rtl/>
        </w:rPr>
        <w:t xml:space="preserve">משך כשנתיים, </w:t>
      </w:r>
      <w:r>
        <w:rPr>
          <w:rFonts w:ascii="FrankRuehl" w:hAnsi="FrankRuehl" w:cs="FrankRuehl" w:hint="cs"/>
          <w:sz w:val="28"/>
          <w:szCs w:val="28"/>
          <w:rtl/>
        </w:rPr>
        <w:t xml:space="preserve">לפי טענות התובעת עצמה, הנתבע היה </w:t>
      </w:r>
      <w:r w:rsidR="00ED24A0">
        <w:rPr>
          <w:rFonts w:ascii="FrankRuehl" w:hAnsi="FrankRuehl" w:cs="FrankRuehl" w:hint="cs"/>
          <w:sz w:val="28"/>
          <w:szCs w:val="28"/>
          <w:rtl/>
        </w:rPr>
        <w:t xml:space="preserve">מאושפז ומרותק למיטתו ולאחר מכן נאבק יחד עם התובעת במגבלות והקטינה </w:t>
      </w:r>
      <w:r w:rsidR="00ED24A0" w:rsidRPr="00ED24A0">
        <w:rPr>
          <w:rFonts w:ascii="Miriam" w:hAnsi="Miriam" w:cs="Miriam"/>
          <w:rtl/>
        </w:rPr>
        <w:t>"...גודלת בבית הוריה של התובעת..."</w:t>
      </w:r>
      <w:r w:rsidR="00ED24A0">
        <w:rPr>
          <w:rFonts w:ascii="FrankRuehl" w:hAnsi="FrankRuehl" w:cs="FrankRuehl" w:hint="cs"/>
          <w:sz w:val="28"/>
          <w:szCs w:val="28"/>
          <w:rtl/>
        </w:rPr>
        <w:t xml:space="preserve"> </w:t>
      </w:r>
      <w:r w:rsidR="00622D2C">
        <w:rPr>
          <w:rFonts w:ascii="FrankRuehl" w:hAnsi="FrankRuehl" w:cs="FrankRuehl" w:hint="cs"/>
          <w:sz w:val="28"/>
          <w:szCs w:val="28"/>
          <w:rtl/>
        </w:rPr>
        <w:t xml:space="preserve">ואילו </w:t>
      </w:r>
      <w:r w:rsidR="00ED24A0">
        <w:rPr>
          <w:rFonts w:ascii="FrankRuehl" w:hAnsi="FrankRuehl" w:cs="FrankRuehl" w:hint="cs"/>
          <w:sz w:val="28"/>
          <w:szCs w:val="28"/>
          <w:rtl/>
        </w:rPr>
        <w:t>התובעת ליד מיטתו, ורק באפריל 2017 שבה המשפחה לבית מגור</w:t>
      </w:r>
      <w:r w:rsidR="00622D2C">
        <w:rPr>
          <w:rFonts w:ascii="FrankRuehl" w:hAnsi="FrankRuehl" w:cs="FrankRuehl" w:hint="cs"/>
          <w:sz w:val="28"/>
          <w:szCs w:val="28"/>
          <w:rtl/>
        </w:rPr>
        <w:t>יה, ההגיון אומר שההפך הוא הנכון</w:t>
      </w:r>
      <w:r w:rsidR="00ED24A0">
        <w:rPr>
          <w:rFonts w:ascii="FrankRuehl" w:hAnsi="FrankRuehl" w:cs="FrankRuehl" w:hint="cs"/>
          <w:sz w:val="28"/>
          <w:szCs w:val="28"/>
          <w:rtl/>
        </w:rPr>
        <w:t xml:space="preserve">. </w:t>
      </w:r>
      <w:r w:rsidR="00622D2C">
        <w:rPr>
          <w:rFonts w:ascii="FrankRuehl" w:hAnsi="FrankRuehl" w:cs="FrankRuehl" w:hint="cs"/>
          <w:sz w:val="28"/>
          <w:szCs w:val="28"/>
          <w:rtl/>
        </w:rPr>
        <w:t xml:space="preserve"> ראו סעיפים 6-9 לסיכומי התובעת.</w:t>
      </w:r>
    </w:p>
    <w:p w:rsidR="0033429C" w:rsidRPr="00B837C6" w:rsidRDefault="0033429C" w:rsidP="00ED24A0">
      <w:pPr>
        <w:spacing w:after="160" w:line="360" w:lineRule="auto"/>
        <w:ind w:left="425" w:hanging="425"/>
        <w:contextualSpacing/>
        <w:jc w:val="both"/>
        <w:rPr>
          <w:rFonts w:ascii="FrankRuehl" w:hAnsi="FrankRuehl" w:cs="FrankRuehl"/>
          <w:sz w:val="28"/>
          <w:szCs w:val="28"/>
          <w:rtl/>
        </w:rPr>
      </w:pPr>
    </w:p>
    <w:p w:rsidR="00D63091" w:rsidRDefault="0033429C" w:rsidP="00D63091">
      <w:pPr>
        <w:spacing w:after="160" w:line="360" w:lineRule="auto"/>
        <w:ind w:left="425" w:hanging="425"/>
        <w:contextualSpacing/>
        <w:jc w:val="both"/>
        <w:rPr>
          <w:rFonts w:ascii="FrankRuehl" w:hAnsi="FrankRuehl" w:cs="FrankRuehl"/>
          <w:color w:val="000000"/>
          <w:sz w:val="28"/>
          <w:szCs w:val="28"/>
          <w:shd w:val="clear" w:color="auto" w:fill="FFFFFF"/>
          <w:rtl/>
        </w:rPr>
      </w:pPr>
      <w:r w:rsidRPr="00B837C6">
        <w:rPr>
          <w:rFonts w:ascii="FrankRuehl" w:hAnsi="FrankRuehl" w:cs="FrankRuehl"/>
          <w:sz w:val="28"/>
          <w:szCs w:val="28"/>
          <w:rtl/>
        </w:rPr>
        <w:t>2</w:t>
      </w:r>
      <w:r w:rsidR="00D63091">
        <w:rPr>
          <w:rFonts w:ascii="FrankRuehl" w:hAnsi="FrankRuehl" w:cs="FrankRuehl" w:hint="cs"/>
          <w:sz w:val="28"/>
          <w:szCs w:val="28"/>
          <w:rtl/>
        </w:rPr>
        <w:t>7</w:t>
      </w:r>
      <w:r w:rsidRPr="00B837C6">
        <w:rPr>
          <w:rFonts w:ascii="FrankRuehl" w:hAnsi="FrankRuehl" w:cs="FrankRuehl"/>
          <w:sz w:val="28"/>
          <w:szCs w:val="28"/>
          <w:rtl/>
        </w:rPr>
        <w:t>.</w:t>
      </w:r>
      <w:r w:rsidRPr="00B837C6">
        <w:rPr>
          <w:rFonts w:ascii="FrankRuehl" w:hAnsi="FrankRuehl" w:cs="FrankRuehl"/>
          <w:sz w:val="28"/>
          <w:szCs w:val="28"/>
          <w:rtl/>
        </w:rPr>
        <w:tab/>
      </w:r>
      <w:r w:rsidR="000112D4">
        <w:rPr>
          <w:rFonts w:ascii="FrankRuehl" w:hAnsi="FrankRuehl" w:cs="FrankRuehl" w:hint="cs"/>
          <w:color w:val="000000"/>
          <w:sz w:val="28"/>
          <w:szCs w:val="28"/>
          <w:shd w:val="clear" w:color="auto" w:fill="FFFFFF"/>
          <w:rtl/>
        </w:rPr>
        <w:t>הרף המינימלי שנקבע בפסיקה אינו משתנה בין בני הדתות שכן מדובר תבח</w:t>
      </w:r>
      <w:r w:rsidR="00622D2C">
        <w:rPr>
          <w:rFonts w:ascii="FrankRuehl" w:hAnsi="FrankRuehl" w:cs="FrankRuehl" w:hint="cs"/>
          <w:color w:val="000000"/>
          <w:sz w:val="28"/>
          <w:szCs w:val="28"/>
          <w:shd w:val="clear" w:color="auto" w:fill="FFFFFF"/>
          <w:rtl/>
        </w:rPr>
        <w:t>שיב ממוצע של צרכי קיום מינימלים</w:t>
      </w:r>
      <w:r w:rsidR="000112D4">
        <w:rPr>
          <w:rFonts w:ascii="FrankRuehl" w:hAnsi="FrankRuehl" w:cs="FrankRuehl" w:hint="cs"/>
          <w:color w:val="000000"/>
          <w:sz w:val="28"/>
          <w:szCs w:val="28"/>
          <w:shd w:val="clear" w:color="auto" w:fill="FFFFFF"/>
          <w:rtl/>
        </w:rPr>
        <w:t xml:space="preserve">. ראו תמ"ש (ב"ש) 32288-04-10 </w:t>
      </w:r>
      <w:r w:rsidR="000112D4">
        <w:rPr>
          <w:rFonts w:ascii="FrankRuehl" w:hAnsi="FrankRuehl" w:cs="FrankRuehl" w:hint="cs"/>
          <w:b/>
          <w:bCs/>
          <w:color w:val="000000"/>
          <w:sz w:val="28"/>
          <w:szCs w:val="28"/>
          <w:shd w:val="clear" w:color="auto" w:fill="FFFFFF"/>
          <w:rtl/>
        </w:rPr>
        <w:t xml:space="preserve">פלונים נ' אלמוני, </w:t>
      </w:r>
      <w:r w:rsidR="000112D4">
        <w:rPr>
          <w:rFonts w:ascii="FrankRuehl" w:hAnsi="FrankRuehl" w:cs="FrankRuehl" w:hint="cs"/>
          <w:color w:val="000000"/>
          <w:sz w:val="28"/>
          <w:szCs w:val="28"/>
          <w:shd w:val="clear" w:color="auto" w:fill="FFFFFF"/>
          <w:rtl/>
        </w:rPr>
        <w:t>מיום 19.11.2012</w:t>
      </w:r>
      <w:r w:rsidR="00166726">
        <w:rPr>
          <w:rFonts w:ascii="FrankRuehl" w:hAnsi="FrankRuehl" w:cs="FrankRuehl" w:hint="cs"/>
          <w:color w:val="000000"/>
          <w:sz w:val="28"/>
          <w:szCs w:val="28"/>
          <w:shd w:val="clear" w:color="auto" w:fill="FFFFFF"/>
          <w:rtl/>
        </w:rPr>
        <w:t xml:space="preserve">, תמ"ש 50191-03-16 </w:t>
      </w:r>
      <w:r w:rsidR="00166726">
        <w:rPr>
          <w:rFonts w:ascii="FrankRuehl" w:hAnsi="FrankRuehl" w:cs="FrankRuehl" w:hint="cs"/>
          <w:b/>
          <w:bCs/>
          <w:color w:val="000000"/>
          <w:sz w:val="28"/>
          <w:szCs w:val="28"/>
          <w:shd w:val="clear" w:color="auto" w:fill="FFFFFF"/>
          <w:rtl/>
        </w:rPr>
        <w:t xml:space="preserve">פלונית נ' אלמוני, </w:t>
      </w:r>
      <w:r w:rsidR="00166726">
        <w:rPr>
          <w:rFonts w:ascii="FrankRuehl" w:hAnsi="FrankRuehl" w:cs="FrankRuehl" w:hint="cs"/>
          <w:color w:val="000000"/>
          <w:sz w:val="28"/>
          <w:szCs w:val="28"/>
          <w:shd w:val="clear" w:color="auto" w:fill="FFFFFF"/>
          <w:rtl/>
        </w:rPr>
        <w:t xml:space="preserve">מיום 21.01.2018 פסקה 29 לפסה"ד. </w:t>
      </w:r>
    </w:p>
    <w:p w:rsidR="00D63091" w:rsidRDefault="00D63091" w:rsidP="00D63091">
      <w:pPr>
        <w:spacing w:after="160" w:line="360" w:lineRule="auto"/>
        <w:ind w:left="425" w:hanging="425"/>
        <w:contextualSpacing/>
        <w:jc w:val="both"/>
        <w:rPr>
          <w:rFonts w:ascii="FrankRuehl" w:hAnsi="FrankRuehl" w:cs="FrankRuehl"/>
          <w:color w:val="000000"/>
          <w:sz w:val="28"/>
          <w:szCs w:val="28"/>
          <w:shd w:val="clear" w:color="auto" w:fill="FFFFFF"/>
          <w:rtl/>
        </w:rPr>
      </w:pPr>
    </w:p>
    <w:p w:rsidR="00C56454" w:rsidRDefault="00D63091" w:rsidP="00D63091">
      <w:pPr>
        <w:spacing w:after="160" w:line="360" w:lineRule="auto"/>
        <w:ind w:left="425" w:hanging="425"/>
        <w:contextualSpacing/>
        <w:jc w:val="both"/>
        <w:rPr>
          <w:rFonts w:ascii="FrankRuehl" w:hAnsi="FrankRuehl" w:cs="FrankRuehl"/>
          <w:color w:val="000000"/>
          <w:sz w:val="28"/>
          <w:szCs w:val="28"/>
          <w:shd w:val="clear" w:color="auto" w:fill="FFFFFF"/>
          <w:rtl/>
        </w:rPr>
      </w:pPr>
      <w:r>
        <w:rPr>
          <w:rFonts w:ascii="FrankRuehl" w:hAnsi="FrankRuehl" w:cs="FrankRuehl" w:hint="cs"/>
          <w:color w:val="000000"/>
          <w:sz w:val="28"/>
          <w:szCs w:val="28"/>
          <w:shd w:val="clear" w:color="auto" w:fill="FFFFFF"/>
          <w:rtl/>
        </w:rPr>
        <w:t>28.</w:t>
      </w:r>
      <w:r>
        <w:rPr>
          <w:rFonts w:ascii="FrankRuehl" w:hAnsi="FrankRuehl" w:cs="FrankRuehl" w:hint="cs"/>
          <w:color w:val="000000"/>
          <w:sz w:val="28"/>
          <w:szCs w:val="28"/>
          <w:shd w:val="clear" w:color="auto" w:fill="FFFFFF"/>
          <w:rtl/>
        </w:rPr>
        <w:tab/>
      </w:r>
      <w:r w:rsidR="000112D4">
        <w:rPr>
          <w:rFonts w:ascii="FrankRuehl" w:hAnsi="FrankRuehl" w:cs="FrankRuehl" w:hint="cs"/>
          <w:color w:val="000000"/>
          <w:sz w:val="28"/>
          <w:szCs w:val="28"/>
          <w:shd w:val="clear" w:color="auto" w:fill="FFFFFF"/>
          <w:rtl/>
        </w:rPr>
        <w:t>וגם</w:t>
      </w:r>
      <w:r>
        <w:rPr>
          <w:rFonts w:ascii="FrankRuehl" w:hAnsi="FrankRuehl" w:cs="FrankRuehl" w:hint="cs"/>
          <w:color w:val="000000"/>
          <w:sz w:val="28"/>
          <w:szCs w:val="28"/>
          <w:shd w:val="clear" w:color="auto" w:fill="FFFFFF"/>
          <w:rtl/>
        </w:rPr>
        <w:t xml:space="preserve"> נפסק, כי </w:t>
      </w:r>
      <w:r w:rsidR="00B837C6" w:rsidRPr="00B837C6">
        <w:rPr>
          <w:rFonts w:ascii="FrankRuehl" w:hAnsi="FrankRuehl" w:cs="FrankRuehl"/>
          <w:color w:val="000000"/>
          <w:sz w:val="28"/>
          <w:szCs w:val="28"/>
          <w:shd w:val="clear" w:color="auto" w:fill="FFFFFF"/>
          <w:rtl/>
        </w:rPr>
        <w:t xml:space="preserve">בית המשפט </w:t>
      </w:r>
      <w:r w:rsidR="00B837C6">
        <w:rPr>
          <w:rFonts w:ascii="FrankRuehl" w:hAnsi="FrankRuehl" w:cs="FrankRuehl" w:hint="cs"/>
          <w:color w:val="000000"/>
          <w:sz w:val="28"/>
          <w:szCs w:val="28"/>
          <w:shd w:val="clear" w:color="auto" w:fill="FFFFFF"/>
          <w:rtl/>
        </w:rPr>
        <w:t xml:space="preserve">אינו </w:t>
      </w:r>
      <w:r w:rsidR="00B837C6" w:rsidRPr="00B837C6">
        <w:rPr>
          <w:rFonts w:ascii="FrankRuehl" w:hAnsi="FrankRuehl" w:cs="FrankRuehl"/>
          <w:color w:val="000000"/>
          <w:sz w:val="28"/>
          <w:szCs w:val="28"/>
          <w:shd w:val="clear" w:color="auto" w:fill="FFFFFF"/>
          <w:rtl/>
        </w:rPr>
        <w:t xml:space="preserve">מחויב לסף מינימלי של </w:t>
      </w:r>
      <w:r w:rsidR="00B837C6">
        <w:rPr>
          <w:rFonts w:ascii="FrankRuehl" w:hAnsi="FrankRuehl" w:cs="FrankRuehl" w:hint="cs"/>
          <w:color w:val="000000"/>
          <w:sz w:val="28"/>
          <w:szCs w:val="28"/>
          <w:shd w:val="clear" w:color="auto" w:fill="FFFFFF"/>
          <w:rtl/>
        </w:rPr>
        <w:t>מזונות ו</w:t>
      </w:r>
      <w:r w:rsidR="00B837C6" w:rsidRPr="00B837C6">
        <w:rPr>
          <w:rFonts w:ascii="FrankRuehl" w:hAnsi="FrankRuehl" w:cs="FrankRuehl"/>
          <w:color w:val="000000"/>
          <w:sz w:val="28"/>
          <w:szCs w:val="28"/>
          <w:shd w:val="clear" w:color="auto" w:fill="FFFFFF"/>
          <w:rtl/>
        </w:rPr>
        <w:t xml:space="preserve">עליו לפסוק בהתאם לנסיבות </w:t>
      </w:r>
      <w:r w:rsidR="00B837C6">
        <w:rPr>
          <w:rFonts w:ascii="FrankRuehl" w:hAnsi="FrankRuehl" w:cs="FrankRuehl" w:hint="cs"/>
          <w:color w:val="000000"/>
          <w:sz w:val="28"/>
          <w:szCs w:val="28"/>
          <w:shd w:val="clear" w:color="auto" w:fill="FFFFFF"/>
          <w:rtl/>
        </w:rPr>
        <w:t xml:space="preserve">כל מקרה, לנסיבותיו. ראו רמ"ש (חי) 53234-12-20 </w:t>
      </w:r>
      <w:r w:rsidR="00B837C6">
        <w:rPr>
          <w:rFonts w:ascii="FrankRuehl" w:hAnsi="FrankRuehl" w:cs="FrankRuehl" w:hint="cs"/>
          <w:b/>
          <w:bCs/>
          <w:color w:val="000000"/>
          <w:sz w:val="28"/>
          <w:szCs w:val="28"/>
          <w:shd w:val="clear" w:color="auto" w:fill="FFFFFF"/>
          <w:rtl/>
        </w:rPr>
        <w:t xml:space="preserve">פלונית נ' אלמוני, </w:t>
      </w:r>
      <w:r w:rsidR="00B837C6">
        <w:rPr>
          <w:rFonts w:ascii="FrankRuehl" w:hAnsi="FrankRuehl" w:cs="FrankRuehl" w:hint="cs"/>
          <w:color w:val="000000"/>
          <w:sz w:val="28"/>
          <w:szCs w:val="28"/>
          <w:shd w:val="clear" w:color="auto" w:fill="FFFFFF"/>
          <w:rtl/>
        </w:rPr>
        <w:t>סעיף 21 לפסה"ד מיום 14.1.2021</w:t>
      </w:r>
      <w:r w:rsidR="00C56454">
        <w:rPr>
          <w:rFonts w:ascii="FrankRuehl" w:hAnsi="FrankRuehl" w:cs="FrankRuehl" w:hint="cs"/>
          <w:color w:val="000000"/>
          <w:sz w:val="28"/>
          <w:szCs w:val="28"/>
          <w:shd w:val="clear" w:color="auto" w:fill="FFFFFF"/>
          <w:rtl/>
        </w:rPr>
        <w:t xml:space="preserve"> וגם תמ"ש 50191-03-16 </w:t>
      </w:r>
      <w:r w:rsidR="00C56454">
        <w:rPr>
          <w:rFonts w:ascii="FrankRuehl" w:hAnsi="FrankRuehl" w:cs="FrankRuehl" w:hint="cs"/>
          <w:b/>
          <w:bCs/>
          <w:color w:val="000000"/>
          <w:sz w:val="28"/>
          <w:szCs w:val="28"/>
          <w:shd w:val="clear" w:color="auto" w:fill="FFFFFF"/>
          <w:rtl/>
        </w:rPr>
        <w:t xml:space="preserve">פלונית נ' אלמוני, </w:t>
      </w:r>
      <w:r w:rsidR="00C56454">
        <w:rPr>
          <w:rFonts w:ascii="FrankRuehl" w:hAnsi="FrankRuehl" w:cs="FrankRuehl" w:hint="cs"/>
          <w:color w:val="000000"/>
          <w:sz w:val="28"/>
          <w:szCs w:val="28"/>
          <w:shd w:val="clear" w:color="auto" w:fill="FFFFFF"/>
          <w:rtl/>
        </w:rPr>
        <w:t xml:space="preserve">הנ"ל, סעיף 30 </w:t>
      </w:r>
      <w:r>
        <w:rPr>
          <w:rFonts w:ascii="FrankRuehl" w:hAnsi="FrankRuehl" w:cs="FrankRuehl" w:hint="cs"/>
          <w:color w:val="000000"/>
          <w:sz w:val="28"/>
          <w:szCs w:val="28"/>
          <w:shd w:val="clear" w:color="auto" w:fill="FFFFFF"/>
          <w:rtl/>
        </w:rPr>
        <w:t>ל</w:t>
      </w:r>
      <w:r w:rsidR="00C56454">
        <w:rPr>
          <w:rFonts w:ascii="FrankRuehl" w:hAnsi="FrankRuehl" w:cs="FrankRuehl" w:hint="cs"/>
          <w:color w:val="000000"/>
          <w:sz w:val="28"/>
          <w:szCs w:val="28"/>
          <w:shd w:val="clear" w:color="auto" w:fill="FFFFFF"/>
          <w:rtl/>
        </w:rPr>
        <w:t>פסה"ד.</w:t>
      </w:r>
    </w:p>
    <w:p w:rsidR="00166726" w:rsidRDefault="00166726" w:rsidP="00166726">
      <w:pPr>
        <w:spacing w:after="160" w:line="360" w:lineRule="auto"/>
        <w:ind w:left="425" w:hanging="425"/>
        <w:contextualSpacing/>
        <w:jc w:val="both"/>
        <w:rPr>
          <w:rFonts w:ascii="FrankRuehl" w:hAnsi="FrankRuehl" w:cs="FrankRuehl"/>
          <w:b/>
          <w:bCs/>
          <w:sz w:val="28"/>
          <w:szCs w:val="28"/>
          <w:rtl/>
        </w:rPr>
      </w:pPr>
    </w:p>
    <w:p w:rsidR="0033429C" w:rsidRDefault="00166726" w:rsidP="00043F3D">
      <w:pPr>
        <w:spacing w:after="160" w:line="360" w:lineRule="auto"/>
        <w:ind w:left="425" w:hanging="425"/>
        <w:contextualSpacing/>
        <w:jc w:val="both"/>
        <w:rPr>
          <w:rFonts w:ascii="FrankRuehl" w:hAnsi="FrankRuehl" w:cs="FrankRuehl"/>
          <w:sz w:val="28"/>
          <w:szCs w:val="28"/>
          <w:rtl/>
        </w:rPr>
      </w:pPr>
      <w:r w:rsidRPr="00166726">
        <w:rPr>
          <w:rFonts w:ascii="FrankRuehl" w:hAnsi="FrankRuehl" w:cs="FrankRuehl" w:hint="cs"/>
          <w:sz w:val="28"/>
          <w:szCs w:val="28"/>
          <w:rtl/>
        </w:rPr>
        <w:t>29.</w:t>
      </w:r>
      <w:r w:rsidRPr="00166726">
        <w:rPr>
          <w:rFonts w:ascii="FrankRuehl" w:hAnsi="FrankRuehl" w:cs="FrankRuehl" w:hint="cs"/>
          <w:sz w:val="28"/>
          <w:szCs w:val="28"/>
          <w:rtl/>
        </w:rPr>
        <w:tab/>
      </w:r>
      <w:r w:rsidR="00B837C6">
        <w:rPr>
          <w:rFonts w:ascii="FrankRuehl" w:hAnsi="FrankRuehl" w:cs="FrankRuehl" w:hint="cs"/>
          <w:b/>
          <w:bCs/>
          <w:sz w:val="28"/>
          <w:szCs w:val="28"/>
          <w:rtl/>
        </w:rPr>
        <w:t xml:space="preserve">לאור המפורט לעיל והסכומים שפורטו בסעיף 19 לעיל, </w:t>
      </w:r>
      <w:r w:rsidR="00760962" w:rsidRPr="00B837C6">
        <w:rPr>
          <w:rFonts w:ascii="FrankRuehl" w:hAnsi="FrankRuehl" w:cs="FrankRuehl"/>
          <w:b/>
          <w:bCs/>
          <w:sz w:val="28"/>
          <w:szCs w:val="28"/>
          <w:rtl/>
        </w:rPr>
        <w:t xml:space="preserve">אני אומדת </w:t>
      </w:r>
      <w:r w:rsidR="00B837C6">
        <w:rPr>
          <w:rFonts w:ascii="FrankRuehl" w:hAnsi="FrankRuehl" w:cs="FrankRuehl" w:hint="cs"/>
          <w:b/>
          <w:bCs/>
          <w:sz w:val="28"/>
          <w:szCs w:val="28"/>
          <w:rtl/>
        </w:rPr>
        <w:t xml:space="preserve">את כלל </w:t>
      </w:r>
      <w:r w:rsidR="00760962" w:rsidRPr="00B837C6">
        <w:rPr>
          <w:rFonts w:ascii="FrankRuehl" w:hAnsi="FrankRuehl" w:cs="FrankRuehl"/>
          <w:b/>
          <w:bCs/>
          <w:sz w:val="28"/>
          <w:szCs w:val="28"/>
          <w:rtl/>
        </w:rPr>
        <w:t>צרכי הקטינה סך 1,</w:t>
      </w:r>
      <w:r w:rsidR="00043F3D">
        <w:rPr>
          <w:rFonts w:ascii="FrankRuehl" w:hAnsi="FrankRuehl" w:cs="FrankRuehl" w:hint="cs"/>
          <w:b/>
          <w:bCs/>
          <w:sz w:val="28"/>
          <w:szCs w:val="28"/>
          <w:rtl/>
        </w:rPr>
        <w:t>50</w:t>
      </w:r>
      <w:r w:rsidR="00760962" w:rsidRPr="00B837C6">
        <w:rPr>
          <w:rFonts w:ascii="FrankRuehl" w:hAnsi="FrankRuehl" w:cs="FrankRuehl"/>
          <w:b/>
          <w:bCs/>
          <w:sz w:val="28"/>
          <w:szCs w:val="28"/>
          <w:rtl/>
        </w:rPr>
        <w:t xml:space="preserve">0 </w:t>
      </w:r>
      <w:r w:rsidR="00760962" w:rsidRPr="00ED4F89">
        <w:rPr>
          <w:rFonts w:ascii="FrankRuehl" w:hAnsi="FrankRuehl" w:cs="FrankRuehl" w:hint="cs"/>
          <w:b/>
          <w:bCs/>
          <w:sz w:val="28"/>
          <w:szCs w:val="28"/>
          <w:rtl/>
        </w:rPr>
        <w:t>₪ לחודש לא כולל מדור.</w:t>
      </w:r>
    </w:p>
    <w:p w:rsidR="003402C6" w:rsidRDefault="00166726" w:rsidP="00166726">
      <w:pPr>
        <w:spacing w:after="160" w:line="360" w:lineRule="auto"/>
        <w:ind w:left="425" w:hanging="425"/>
        <w:contextualSpacing/>
        <w:jc w:val="both"/>
        <w:rPr>
          <w:rFonts w:ascii="FrankRuehl" w:eastAsia="Calibri" w:hAnsi="FrankRuehl" w:cs="FrankRuehl"/>
          <w:b/>
          <w:bCs/>
          <w:sz w:val="28"/>
          <w:szCs w:val="28"/>
          <w:rtl/>
        </w:rPr>
      </w:pPr>
      <w:r>
        <w:rPr>
          <w:rFonts w:ascii="FrankRuehl" w:hAnsi="FrankRuehl" w:cs="FrankRuehl"/>
          <w:sz w:val="28"/>
          <w:szCs w:val="28"/>
          <w:rtl/>
        </w:rPr>
        <w:t>30.</w:t>
      </w:r>
      <w:r>
        <w:rPr>
          <w:rFonts w:ascii="FrankRuehl" w:hAnsi="FrankRuehl" w:cs="FrankRuehl"/>
          <w:sz w:val="28"/>
          <w:szCs w:val="28"/>
          <w:rtl/>
        </w:rPr>
        <w:tab/>
      </w:r>
      <w:r w:rsidR="003402C6" w:rsidRPr="00166726">
        <w:rPr>
          <w:rFonts w:ascii="FrankRuehl" w:eastAsia="Calibri" w:hAnsi="FrankRuehl" w:cs="FrankRuehl"/>
          <w:b/>
          <w:bCs/>
          <w:sz w:val="28"/>
          <w:szCs w:val="28"/>
          <w:rtl/>
        </w:rPr>
        <w:t>ומהי יכולתם של ההורים?</w:t>
      </w:r>
    </w:p>
    <w:p w:rsidR="00C56454" w:rsidRDefault="00166726" w:rsidP="00C56454">
      <w:pPr>
        <w:spacing w:after="160" w:line="360" w:lineRule="auto"/>
        <w:ind w:left="425" w:hanging="425"/>
        <w:contextualSpacing/>
        <w:jc w:val="both"/>
        <w:rPr>
          <w:rFonts w:ascii="FrankRuehl" w:eastAsia="Calibri" w:hAnsi="FrankRuehl" w:cs="FrankRuehl"/>
          <w:sz w:val="28"/>
          <w:szCs w:val="28"/>
          <w:rtl/>
        </w:rPr>
      </w:pPr>
      <w:r>
        <w:rPr>
          <w:rFonts w:ascii="FrankRuehl" w:hAnsi="FrankRuehl" w:cs="FrankRuehl"/>
          <w:sz w:val="28"/>
          <w:szCs w:val="28"/>
          <w:rtl/>
        </w:rPr>
        <w:tab/>
      </w:r>
      <w:r>
        <w:rPr>
          <w:rFonts w:ascii="FrankRuehl" w:hAnsi="FrankRuehl" w:cs="FrankRuehl" w:hint="cs"/>
          <w:sz w:val="28"/>
          <w:szCs w:val="28"/>
          <w:rtl/>
        </w:rPr>
        <w:t xml:space="preserve">כמפורט לעיל שני ההורים בעלי נכות ומתקיימם </w:t>
      </w:r>
      <w:r>
        <w:rPr>
          <w:rFonts w:ascii="FrankRuehl" w:hAnsi="FrankRuehl" w:cs="FrankRuehl" w:hint="cs"/>
          <w:noProof w:val="0"/>
          <w:sz w:val="28"/>
          <w:szCs w:val="28"/>
          <w:rtl/>
        </w:rPr>
        <w:t xml:space="preserve">מקִצבאות המוסד לביטוח לאומי. הנתבע לא טען כי הוא </w:t>
      </w:r>
      <w:r>
        <w:rPr>
          <w:rFonts w:ascii="FrankRuehl" w:eastAsia="Calibri" w:hAnsi="FrankRuehl" w:cs="FrankRuehl" w:hint="cs"/>
          <w:sz w:val="28"/>
          <w:szCs w:val="28"/>
          <w:rtl/>
        </w:rPr>
        <w:t>חסר אמצעים</w:t>
      </w:r>
      <w:r w:rsidR="00C56454">
        <w:rPr>
          <w:rFonts w:ascii="FrankRuehl" w:eastAsia="Calibri" w:hAnsi="FrankRuehl" w:cs="FrankRuehl" w:hint="cs"/>
          <w:sz w:val="28"/>
          <w:szCs w:val="28"/>
          <w:rtl/>
        </w:rPr>
        <w:t xml:space="preserve"> ואין בנכותו כדי לפטור אותו מחובתו לשאת במזונות הקטינה או התובעת </w:t>
      </w:r>
      <w:r w:rsidR="00C56454">
        <w:rPr>
          <w:rFonts w:ascii="FrankRuehl" w:eastAsia="Calibri" w:hAnsi="FrankRuehl" w:cs="FrankRuehl"/>
          <w:sz w:val="28"/>
          <w:szCs w:val="28"/>
          <w:rtl/>
        </w:rPr>
        <w:t>–</w:t>
      </w:r>
      <w:r w:rsidR="00C56454">
        <w:rPr>
          <w:rFonts w:ascii="FrankRuehl" w:eastAsia="Calibri" w:hAnsi="FrankRuehl" w:cs="FrankRuehl" w:hint="cs"/>
          <w:sz w:val="28"/>
          <w:szCs w:val="28"/>
          <w:rtl/>
        </w:rPr>
        <w:t xml:space="preserve"> שהרי קבלת ק</w:t>
      </w:r>
      <w:r w:rsidR="00622D2C">
        <w:rPr>
          <w:rFonts w:ascii="FrankRuehl" w:eastAsia="Calibri" w:hAnsi="FrankRuehl" w:cs="FrankRuehl" w:hint="cs"/>
          <w:sz w:val="28"/>
          <w:szCs w:val="28"/>
          <w:rtl/>
        </w:rPr>
        <w:t>ִ</w:t>
      </w:r>
      <w:r w:rsidR="00C56454">
        <w:rPr>
          <w:rFonts w:ascii="FrankRuehl" w:eastAsia="Calibri" w:hAnsi="FrankRuehl" w:cs="FrankRuehl" w:hint="cs"/>
          <w:sz w:val="28"/>
          <w:szCs w:val="28"/>
          <w:rtl/>
        </w:rPr>
        <w:t>צבת נכות אינה "</w:t>
      </w:r>
      <w:r w:rsidR="00C56454" w:rsidRPr="00622D2C">
        <w:rPr>
          <w:rFonts w:ascii="FrankRuehl" w:eastAsia="Calibri" w:hAnsi="FrankRuehl" w:cs="Miriam" w:hint="cs"/>
          <w:sz w:val="28"/>
          <w:rtl/>
        </w:rPr>
        <w:t>חזות הכל</w:t>
      </w:r>
      <w:r w:rsidR="00C56454">
        <w:rPr>
          <w:rFonts w:ascii="FrankRuehl" w:eastAsia="Calibri" w:hAnsi="FrankRuehl" w:cs="FrankRuehl" w:hint="cs"/>
          <w:sz w:val="28"/>
          <w:szCs w:val="28"/>
          <w:rtl/>
        </w:rPr>
        <w:t>" ול</w:t>
      </w:r>
      <w:r w:rsidR="00622D2C">
        <w:rPr>
          <w:rFonts w:ascii="FrankRuehl" w:eastAsia="Calibri" w:hAnsi="FrankRuehl" w:cs="FrankRuehl" w:hint="cs"/>
          <w:sz w:val="28"/>
          <w:szCs w:val="28"/>
          <w:rtl/>
        </w:rPr>
        <w:t>עיתים באפשרות האדם שהוכרה נכותו</w:t>
      </w:r>
      <w:r w:rsidR="00C56454">
        <w:rPr>
          <w:rFonts w:ascii="FrankRuehl" w:eastAsia="Calibri" w:hAnsi="FrankRuehl" w:cs="FrankRuehl" w:hint="cs"/>
          <w:sz w:val="28"/>
          <w:szCs w:val="28"/>
          <w:rtl/>
        </w:rPr>
        <w:t xml:space="preserve"> גם לצאת ולהתפרנס. עם זאת</w:t>
      </w:r>
      <w:r w:rsidR="00622D2C">
        <w:rPr>
          <w:rFonts w:ascii="FrankRuehl" w:eastAsia="Calibri" w:hAnsi="FrankRuehl" w:cs="FrankRuehl" w:hint="cs"/>
          <w:sz w:val="28"/>
          <w:szCs w:val="28"/>
          <w:rtl/>
        </w:rPr>
        <w:t>,</w:t>
      </w:r>
      <w:r w:rsidR="00C56454">
        <w:rPr>
          <w:rFonts w:ascii="FrankRuehl" w:eastAsia="Calibri" w:hAnsi="FrankRuehl" w:cs="FrankRuehl" w:hint="cs"/>
          <w:sz w:val="28"/>
          <w:szCs w:val="28"/>
          <w:rtl/>
        </w:rPr>
        <w:t xml:space="preserve"> התרשמתי ישירות מהנתבע ואיני סבורה כי באפשרותו לצאת ולהתפר</w:t>
      </w:r>
      <w:r w:rsidR="00622D2C">
        <w:rPr>
          <w:rFonts w:ascii="FrankRuehl" w:eastAsia="Calibri" w:hAnsi="FrankRuehl" w:cs="FrankRuehl" w:hint="cs"/>
          <w:sz w:val="28"/>
          <w:szCs w:val="28"/>
          <w:rtl/>
        </w:rPr>
        <w:t>נס. התרשמתי כי המגבלות עימן נותר</w:t>
      </w:r>
      <w:r w:rsidR="00C56454">
        <w:rPr>
          <w:rFonts w:ascii="FrankRuehl" w:eastAsia="Calibri" w:hAnsi="FrankRuehl" w:cs="FrankRuehl" w:hint="cs"/>
          <w:sz w:val="28"/>
          <w:szCs w:val="28"/>
          <w:rtl/>
        </w:rPr>
        <w:t xml:space="preserve"> הנתבע</w:t>
      </w:r>
      <w:r w:rsidR="00622D2C">
        <w:rPr>
          <w:rFonts w:ascii="FrankRuehl" w:eastAsia="Calibri" w:hAnsi="FrankRuehl" w:cs="FrankRuehl" w:hint="cs"/>
          <w:sz w:val="28"/>
          <w:szCs w:val="28"/>
          <w:rtl/>
        </w:rPr>
        <w:t>,</w:t>
      </w:r>
      <w:r w:rsidR="00C56454">
        <w:rPr>
          <w:rFonts w:ascii="FrankRuehl" w:eastAsia="Calibri" w:hAnsi="FrankRuehl" w:cs="FrankRuehl" w:hint="cs"/>
          <w:sz w:val="28"/>
          <w:szCs w:val="28"/>
          <w:rtl/>
        </w:rPr>
        <w:t xml:space="preserve"> מונעות ממ</w:t>
      </w:r>
      <w:r w:rsidR="00622D2C">
        <w:rPr>
          <w:rFonts w:ascii="FrankRuehl" w:eastAsia="Calibri" w:hAnsi="FrankRuehl" w:cs="FrankRuehl" w:hint="cs"/>
          <w:sz w:val="28"/>
          <w:szCs w:val="28"/>
          <w:rtl/>
        </w:rPr>
        <w:t>נו באופן מוחלט לצאת ולהתפרנס על-מנת להגדיל הכנסותיו.</w:t>
      </w:r>
    </w:p>
    <w:p w:rsidR="008D158A" w:rsidRDefault="008D158A" w:rsidP="00C56454">
      <w:pPr>
        <w:spacing w:after="160" w:line="360" w:lineRule="auto"/>
        <w:ind w:left="425" w:hanging="425"/>
        <w:contextualSpacing/>
        <w:jc w:val="both"/>
        <w:rPr>
          <w:rFonts w:ascii="FrankRuehl" w:eastAsia="Calibri" w:hAnsi="FrankRuehl" w:cs="FrankRuehl"/>
          <w:sz w:val="28"/>
          <w:szCs w:val="28"/>
          <w:rtl/>
        </w:rPr>
      </w:pPr>
    </w:p>
    <w:p w:rsidR="008D158A" w:rsidRDefault="008D158A" w:rsidP="00C56454">
      <w:pPr>
        <w:spacing w:after="160" w:line="360" w:lineRule="auto"/>
        <w:ind w:left="425" w:hanging="425"/>
        <w:contextualSpacing/>
        <w:jc w:val="both"/>
        <w:rPr>
          <w:rFonts w:ascii="FrankRuehl" w:eastAsia="Calibri" w:hAnsi="FrankRuehl" w:cs="FrankRuehl"/>
          <w:sz w:val="28"/>
          <w:szCs w:val="28"/>
          <w:rtl/>
        </w:rPr>
      </w:pPr>
      <w:r>
        <w:rPr>
          <w:rFonts w:ascii="FrankRuehl" w:eastAsia="Calibri" w:hAnsi="FrankRuehl" w:cs="FrankRuehl"/>
          <w:sz w:val="28"/>
          <w:szCs w:val="28"/>
          <w:rtl/>
        </w:rPr>
        <w:tab/>
      </w:r>
      <w:r>
        <w:rPr>
          <w:rFonts w:ascii="FrankRuehl" w:eastAsia="Calibri" w:hAnsi="FrankRuehl" w:cs="FrankRuehl" w:hint="cs"/>
          <w:sz w:val="28"/>
          <w:szCs w:val="28"/>
          <w:rtl/>
        </w:rPr>
        <w:t>טענות התובעת לנכסים נוספים של הנתבע, שיש בהם להוסיף על הכנסתו לא הוכחו.</w:t>
      </w:r>
    </w:p>
    <w:p w:rsidR="00F904CE" w:rsidRDefault="00F904CE" w:rsidP="00C56454">
      <w:pPr>
        <w:spacing w:after="160" w:line="360" w:lineRule="auto"/>
        <w:ind w:left="425" w:hanging="425"/>
        <w:contextualSpacing/>
        <w:jc w:val="both"/>
        <w:rPr>
          <w:rFonts w:ascii="FrankRuehl" w:eastAsia="Calibri" w:hAnsi="FrankRuehl" w:cs="FrankRuehl"/>
          <w:sz w:val="28"/>
          <w:szCs w:val="28"/>
          <w:rtl/>
        </w:rPr>
      </w:pPr>
    </w:p>
    <w:p w:rsidR="00CA116C" w:rsidRDefault="00166726" w:rsidP="00DF44CA">
      <w:pPr>
        <w:spacing w:after="160" w:line="360" w:lineRule="auto"/>
        <w:ind w:left="425" w:hanging="425"/>
        <w:contextualSpacing/>
        <w:jc w:val="both"/>
        <w:rPr>
          <w:rFonts w:ascii="FrankRuehl" w:eastAsia="Calibri" w:hAnsi="FrankRuehl" w:cs="FrankRuehl"/>
          <w:sz w:val="28"/>
          <w:szCs w:val="28"/>
          <w:rtl/>
        </w:rPr>
      </w:pPr>
      <w:r w:rsidRPr="00E1496E">
        <w:rPr>
          <w:rFonts w:ascii="FrankRuehl" w:eastAsia="Calibri" w:hAnsi="FrankRuehl" w:cs="FrankRuehl"/>
          <w:sz w:val="28"/>
          <w:szCs w:val="28"/>
          <w:rtl/>
        </w:rPr>
        <w:t>31.</w:t>
      </w:r>
      <w:r w:rsidR="00C56454" w:rsidRPr="00E1496E">
        <w:rPr>
          <w:rFonts w:ascii="FrankRuehl" w:eastAsia="Calibri" w:hAnsi="FrankRuehl" w:cs="FrankRuehl"/>
          <w:sz w:val="28"/>
          <w:szCs w:val="28"/>
          <w:rtl/>
        </w:rPr>
        <w:tab/>
      </w:r>
      <w:r w:rsidR="003638F3">
        <w:rPr>
          <w:rFonts w:ascii="FrankRuehl" w:eastAsia="Calibri" w:hAnsi="FrankRuehl" w:cs="FrankRuehl" w:hint="cs"/>
          <w:sz w:val="28"/>
          <w:szCs w:val="28"/>
          <w:rtl/>
        </w:rPr>
        <w:t xml:space="preserve">לכאורה, </w:t>
      </w:r>
      <w:r w:rsidR="00C56454" w:rsidRPr="00E1496E">
        <w:rPr>
          <w:rFonts w:ascii="FrankRuehl" w:eastAsia="Calibri" w:hAnsi="FrankRuehl" w:cs="FrankRuehl"/>
          <w:sz w:val="28"/>
          <w:szCs w:val="28"/>
          <w:rtl/>
        </w:rPr>
        <w:t>חובתו של הנתבע לשאת במ</w:t>
      </w:r>
      <w:r w:rsidR="00622D2C">
        <w:rPr>
          <w:rFonts w:ascii="FrankRuehl" w:eastAsia="Calibri" w:hAnsi="FrankRuehl" w:cs="FrankRuehl"/>
          <w:sz w:val="28"/>
          <w:szCs w:val="28"/>
          <w:rtl/>
        </w:rPr>
        <w:t>זונות הקטינה היא חובה אבסולוטית</w:t>
      </w:r>
      <w:r w:rsidR="00C56454" w:rsidRPr="00E1496E">
        <w:rPr>
          <w:rFonts w:ascii="FrankRuehl" w:eastAsia="Calibri" w:hAnsi="FrankRuehl" w:cs="FrankRuehl"/>
          <w:sz w:val="28"/>
          <w:szCs w:val="28"/>
          <w:rtl/>
        </w:rPr>
        <w:t xml:space="preserve"> </w:t>
      </w:r>
      <w:r w:rsidR="00DF44CA">
        <w:rPr>
          <w:rFonts w:ascii="FrankRuehl" w:eastAsia="Calibri" w:hAnsi="FrankRuehl" w:cs="FrankRuehl" w:hint="cs"/>
          <w:sz w:val="28"/>
          <w:szCs w:val="28"/>
          <w:rtl/>
        </w:rPr>
        <w:t xml:space="preserve">(סעיף 67 לחוק המעמד האישי לעדה הדרוזית), </w:t>
      </w:r>
      <w:r w:rsidR="003638F3">
        <w:rPr>
          <w:rFonts w:ascii="FrankRuehl" w:eastAsia="Calibri" w:hAnsi="FrankRuehl" w:cs="FrankRuehl" w:hint="cs"/>
          <w:sz w:val="28"/>
          <w:szCs w:val="28"/>
          <w:rtl/>
        </w:rPr>
        <w:t>ואין משקל להכנסות האם אך בהינתן הוראת סעיף</w:t>
      </w:r>
      <w:r w:rsidR="00DF44CA">
        <w:rPr>
          <w:rFonts w:ascii="FrankRuehl" w:eastAsia="Calibri" w:hAnsi="FrankRuehl" w:cs="FrankRuehl" w:hint="cs"/>
          <w:sz w:val="28"/>
          <w:szCs w:val="28"/>
          <w:rtl/>
        </w:rPr>
        <w:t xml:space="preserve"> 70 </w:t>
      </w:r>
      <w:r w:rsidR="00DF44CA">
        <w:rPr>
          <w:rFonts w:ascii="FrankRuehl" w:hAnsi="FrankRuehl" w:cs="FrankRuehl" w:hint="cs"/>
          <w:sz w:val="28"/>
          <w:szCs w:val="28"/>
          <w:rtl/>
        </w:rPr>
        <w:t>לחוק המעמד האישי לעדה הדרוזית בישראל</w:t>
      </w:r>
      <w:r w:rsidR="00DF44CA">
        <w:rPr>
          <w:rFonts w:ascii="FrankRuehl" w:eastAsia="Calibri" w:hAnsi="FrankRuehl" w:cs="FrankRuehl" w:hint="cs"/>
          <w:sz w:val="28"/>
          <w:szCs w:val="28"/>
          <w:rtl/>
        </w:rPr>
        <w:t xml:space="preserve">, </w:t>
      </w:r>
      <w:r w:rsidR="003638F3">
        <w:rPr>
          <w:rFonts w:ascii="FrankRuehl" w:eastAsia="Calibri" w:hAnsi="FrankRuehl" w:cs="FrankRuehl" w:hint="cs"/>
          <w:sz w:val="28"/>
          <w:szCs w:val="28"/>
          <w:rtl/>
        </w:rPr>
        <w:t xml:space="preserve">לפיה </w:t>
      </w:r>
      <w:r w:rsidR="00327FA9" w:rsidRPr="00E1496E">
        <w:rPr>
          <w:rFonts w:ascii="FrankRuehl" w:eastAsia="Calibri" w:hAnsi="FrankRuehl" w:cs="FrankRuehl"/>
          <w:sz w:val="28"/>
          <w:szCs w:val="28"/>
          <w:rtl/>
        </w:rPr>
        <w:t xml:space="preserve">אם </w:t>
      </w:r>
      <w:r w:rsidR="00327FA9" w:rsidRPr="00E1496E">
        <w:rPr>
          <w:rFonts w:ascii="FrankRuehl" w:hAnsi="FrankRuehl" w:cs="FrankRuehl"/>
          <w:color w:val="000000"/>
          <w:sz w:val="28"/>
          <w:szCs w:val="28"/>
          <w:shd w:val="clear" w:color="auto" w:fill="FFFFFF"/>
          <w:rtl/>
        </w:rPr>
        <w:t>אין באפשרות האב לעמוד במלו</w:t>
      </w:r>
      <w:r w:rsidR="00E1496E" w:rsidRPr="00E1496E">
        <w:rPr>
          <w:rFonts w:ascii="FrankRuehl" w:hAnsi="FrankRuehl" w:cs="FrankRuehl"/>
          <w:color w:val="000000"/>
          <w:sz w:val="28"/>
          <w:szCs w:val="28"/>
          <w:shd w:val="clear" w:color="auto" w:fill="FFFFFF"/>
          <w:rtl/>
        </w:rPr>
        <w:t>א חובתו זו, בשל היותו חסר אמצעים, ה</w:t>
      </w:r>
      <w:r w:rsidR="00327FA9" w:rsidRPr="00E1496E">
        <w:rPr>
          <w:rFonts w:ascii="FrankRuehl" w:hAnsi="FrankRuehl" w:cs="FrankRuehl"/>
          <w:color w:val="000000"/>
          <w:sz w:val="28"/>
          <w:szCs w:val="28"/>
          <w:shd w:val="clear" w:color="auto" w:fill="FFFFFF"/>
          <w:rtl/>
        </w:rPr>
        <w:t>אֵ</w:t>
      </w:r>
      <w:r w:rsidR="00E1496E">
        <w:rPr>
          <w:rFonts w:ascii="FrankRuehl" w:hAnsi="FrankRuehl" w:cs="FrankRuehl"/>
          <w:color w:val="000000"/>
          <w:sz w:val="28"/>
          <w:szCs w:val="28"/>
          <w:shd w:val="clear" w:color="auto" w:fill="FFFFFF"/>
          <w:rtl/>
        </w:rPr>
        <w:t>ם,</w:t>
      </w:r>
      <w:r w:rsidR="00E1496E">
        <w:rPr>
          <w:rFonts w:ascii="FrankRuehl" w:hAnsi="FrankRuehl" w:cs="FrankRuehl" w:hint="cs"/>
          <w:b/>
          <w:bCs/>
          <w:color w:val="000000"/>
          <w:sz w:val="28"/>
          <w:szCs w:val="28"/>
          <w:shd w:val="clear" w:color="auto" w:fill="FFFFFF"/>
          <w:rtl/>
        </w:rPr>
        <w:t xml:space="preserve"> </w:t>
      </w:r>
      <w:r w:rsidR="00E1496E" w:rsidRPr="00E1496E">
        <w:rPr>
          <w:rFonts w:ascii="Miriam" w:hAnsi="Miriam" w:cs="Miriam"/>
          <w:color w:val="000000"/>
          <w:shd w:val="clear" w:color="auto" w:fill="FFFFFF"/>
          <w:rtl/>
        </w:rPr>
        <w:t>"</w:t>
      </w:r>
      <w:r w:rsidR="00327FA9" w:rsidRPr="00E1496E">
        <w:rPr>
          <w:rFonts w:ascii="Miriam" w:hAnsi="Miriam" w:cs="Miriam"/>
          <w:color w:val="000000"/>
          <w:shd w:val="clear" w:color="auto" w:fill="FFFFFF"/>
          <w:rtl/>
        </w:rPr>
        <w:t>חייבת</w:t>
      </w:r>
      <w:r w:rsidR="00E1496E" w:rsidRPr="00E1496E">
        <w:rPr>
          <w:rFonts w:ascii="Miriam" w:hAnsi="Miriam" w:cs="Miriam"/>
          <w:color w:val="000000"/>
          <w:shd w:val="clear" w:color="auto" w:fill="FFFFFF"/>
          <w:rtl/>
        </w:rPr>
        <w:t>, לפני יתר הקרובים, בהוצאות ילד</w:t>
      </w:r>
      <w:r w:rsidR="00E1496E" w:rsidRPr="00E1496E">
        <w:rPr>
          <w:rFonts w:ascii="Miriam" w:eastAsia="Calibri" w:hAnsi="Miriam" w:cs="Miriam"/>
          <w:rtl/>
        </w:rPr>
        <w:t>ה".</w:t>
      </w:r>
      <w:r w:rsidR="003638F3">
        <w:rPr>
          <w:rFonts w:ascii="FrankRuehl" w:eastAsia="Calibri" w:hAnsi="FrankRuehl" w:cs="FrankRuehl" w:hint="cs"/>
          <w:sz w:val="28"/>
          <w:szCs w:val="28"/>
          <w:rtl/>
        </w:rPr>
        <w:t xml:space="preserve"> ומדיניות משפטית רצויה לפיה אין להבחין בין צרכי קטינים ונטל הנשיאם בהם </w:t>
      </w:r>
      <w:r w:rsidR="00CA116C">
        <w:rPr>
          <w:rFonts w:ascii="FrankRuehl" w:eastAsia="Calibri" w:hAnsi="FrankRuehl" w:cs="FrankRuehl" w:hint="cs"/>
          <w:sz w:val="28"/>
          <w:szCs w:val="28"/>
          <w:rtl/>
        </w:rPr>
        <w:t xml:space="preserve">על בסיס אפליה מגדרית, </w:t>
      </w:r>
      <w:r w:rsidR="003638F3">
        <w:rPr>
          <w:rFonts w:ascii="FrankRuehl" w:eastAsia="Calibri" w:hAnsi="FrankRuehl" w:cs="FrankRuehl" w:hint="cs"/>
          <w:sz w:val="28"/>
          <w:szCs w:val="28"/>
          <w:rtl/>
        </w:rPr>
        <w:t xml:space="preserve">יש לשקול גם הכנסתה </w:t>
      </w:r>
      <w:r w:rsidR="00CA116C">
        <w:rPr>
          <w:rFonts w:ascii="FrankRuehl" w:eastAsia="Calibri" w:hAnsi="FrankRuehl" w:cs="FrankRuehl" w:hint="cs"/>
          <w:sz w:val="28"/>
          <w:szCs w:val="28"/>
          <w:rtl/>
        </w:rPr>
        <w:t xml:space="preserve">של האם </w:t>
      </w:r>
      <w:r w:rsidR="003638F3" w:rsidRPr="00F904CE">
        <w:rPr>
          <w:rFonts w:ascii="FrankRuehl" w:eastAsia="Calibri" w:hAnsi="FrankRuehl" w:cs="FrankRuehl" w:hint="cs"/>
          <w:b/>
          <w:bCs/>
          <w:sz w:val="28"/>
          <w:szCs w:val="28"/>
          <w:u w:val="single"/>
          <w:rtl/>
        </w:rPr>
        <w:t>ולהחיל את העקרונות הכללים שנפסקו בבע"מ 919/15</w:t>
      </w:r>
      <w:r w:rsidR="00F644F8" w:rsidRPr="00F904CE">
        <w:rPr>
          <w:rFonts w:ascii="FrankRuehl" w:eastAsia="Calibri" w:hAnsi="FrankRuehl" w:cs="FrankRuehl" w:hint="cs"/>
          <w:b/>
          <w:bCs/>
          <w:sz w:val="28"/>
          <w:szCs w:val="28"/>
          <w:u w:val="single"/>
          <w:rtl/>
        </w:rPr>
        <w:t xml:space="preserve"> פלוני נ' פלונית, מיום 19.07.2017</w:t>
      </w:r>
      <w:r w:rsidR="00F904CE" w:rsidRPr="00F904CE">
        <w:rPr>
          <w:rFonts w:ascii="FrankRuehl" w:eastAsia="Calibri" w:hAnsi="FrankRuehl" w:cs="FrankRuehl" w:hint="cs"/>
          <w:b/>
          <w:bCs/>
          <w:sz w:val="28"/>
          <w:szCs w:val="28"/>
          <w:u w:val="single"/>
          <w:rtl/>
        </w:rPr>
        <w:t xml:space="preserve">, תוך התחשבות בדין האישי החל על הצדדים. </w:t>
      </w:r>
      <w:r w:rsidR="003638F3">
        <w:rPr>
          <w:rFonts w:ascii="FrankRuehl" w:eastAsia="Calibri" w:hAnsi="FrankRuehl" w:cs="FrankRuehl" w:hint="cs"/>
          <w:sz w:val="28"/>
          <w:szCs w:val="28"/>
          <w:rtl/>
        </w:rPr>
        <w:t xml:space="preserve"> ראו בהקשר זה </w:t>
      </w:r>
      <w:r w:rsidR="00CA116C">
        <w:rPr>
          <w:rFonts w:ascii="FrankRuehl" w:eastAsia="Calibri" w:hAnsi="FrankRuehl" w:cs="FrankRuehl" w:hint="cs"/>
          <w:sz w:val="28"/>
          <w:szCs w:val="28"/>
          <w:rtl/>
        </w:rPr>
        <w:t xml:space="preserve">רמ"ש (חי) 18027-01-22 </w:t>
      </w:r>
      <w:r w:rsidR="00CA116C">
        <w:rPr>
          <w:rFonts w:ascii="FrankRuehl" w:eastAsia="Calibri" w:hAnsi="FrankRuehl" w:cs="FrankRuehl" w:hint="cs"/>
          <w:b/>
          <w:bCs/>
          <w:sz w:val="28"/>
          <w:szCs w:val="28"/>
          <w:rtl/>
        </w:rPr>
        <w:t>פלונית נ' אלמוני,</w:t>
      </w:r>
      <w:r w:rsidR="00CA116C" w:rsidRPr="00CA116C">
        <w:rPr>
          <w:rFonts w:ascii="FrankRuehl" w:eastAsia="Calibri" w:hAnsi="FrankRuehl" w:cs="FrankRuehl" w:hint="cs"/>
          <w:sz w:val="28"/>
          <w:szCs w:val="28"/>
          <w:rtl/>
        </w:rPr>
        <w:t xml:space="preserve"> </w:t>
      </w:r>
      <w:r w:rsidR="00C85642">
        <w:rPr>
          <w:rFonts w:ascii="FrankRuehl" w:eastAsia="Calibri" w:hAnsi="FrankRuehl" w:cs="FrankRuehl" w:hint="cs"/>
          <w:sz w:val="28"/>
          <w:szCs w:val="28"/>
          <w:rtl/>
        </w:rPr>
        <w:t xml:space="preserve">עמוד 8 לפסה"ד </w:t>
      </w:r>
      <w:r w:rsidR="00CA116C" w:rsidRPr="00CA116C">
        <w:rPr>
          <w:rFonts w:ascii="FrankRuehl" w:eastAsia="Calibri" w:hAnsi="FrankRuehl" w:cs="FrankRuehl" w:hint="cs"/>
          <w:sz w:val="28"/>
          <w:szCs w:val="28"/>
          <w:rtl/>
        </w:rPr>
        <w:t>מיום 30.01.2022</w:t>
      </w:r>
      <w:r w:rsidR="00C85642">
        <w:rPr>
          <w:rFonts w:ascii="FrankRuehl" w:eastAsia="Calibri" w:hAnsi="FrankRuehl" w:cs="FrankRuehl" w:hint="cs"/>
          <w:sz w:val="28"/>
          <w:szCs w:val="28"/>
          <w:rtl/>
        </w:rPr>
        <w:t xml:space="preserve">, </w:t>
      </w:r>
      <w:r w:rsidR="00CA116C">
        <w:rPr>
          <w:rFonts w:ascii="FrankRuehl" w:eastAsia="Calibri" w:hAnsi="FrankRuehl" w:cs="FrankRuehl" w:hint="cs"/>
          <w:sz w:val="28"/>
          <w:szCs w:val="28"/>
          <w:rtl/>
        </w:rPr>
        <w:t>שם נדון חיוב בני העדה הנוצרית אורתודוכסית.</w:t>
      </w:r>
    </w:p>
    <w:p w:rsidR="00DF44CA" w:rsidRDefault="00DF44CA" w:rsidP="00F904CE">
      <w:pPr>
        <w:spacing w:after="160" w:line="360" w:lineRule="auto"/>
        <w:ind w:left="425" w:hanging="425"/>
        <w:contextualSpacing/>
        <w:jc w:val="both"/>
        <w:rPr>
          <w:rFonts w:ascii="FrankRuehl" w:eastAsia="Calibri" w:hAnsi="FrankRuehl" w:cs="FrankRuehl"/>
          <w:sz w:val="28"/>
          <w:szCs w:val="28"/>
          <w:rtl/>
        </w:rPr>
      </w:pPr>
    </w:p>
    <w:p w:rsidR="00DF44CA" w:rsidRDefault="00DF44CA" w:rsidP="00043F3D">
      <w:pPr>
        <w:spacing w:after="160" w:line="360" w:lineRule="auto"/>
        <w:ind w:left="425" w:hanging="425"/>
        <w:contextualSpacing/>
        <w:jc w:val="both"/>
        <w:rPr>
          <w:rFonts w:ascii="FrankRuehl" w:eastAsia="Calibri" w:hAnsi="FrankRuehl" w:cs="FrankRuehl"/>
          <w:sz w:val="28"/>
          <w:szCs w:val="28"/>
          <w:rtl/>
        </w:rPr>
      </w:pPr>
      <w:r>
        <w:rPr>
          <w:rFonts w:ascii="FrankRuehl" w:eastAsia="Calibri" w:hAnsi="FrankRuehl" w:cs="FrankRuehl" w:hint="cs"/>
          <w:sz w:val="28"/>
          <w:szCs w:val="28"/>
          <w:rtl/>
        </w:rPr>
        <w:t>32.</w:t>
      </w:r>
      <w:r>
        <w:rPr>
          <w:rFonts w:ascii="FrankRuehl" w:eastAsia="Calibri" w:hAnsi="FrankRuehl" w:cs="FrankRuehl" w:hint="cs"/>
          <w:sz w:val="28"/>
          <w:szCs w:val="28"/>
          <w:rtl/>
        </w:rPr>
        <w:tab/>
        <w:t xml:space="preserve">על כן </w:t>
      </w:r>
      <w:r w:rsidR="00043F3D">
        <w:rPr>
          <w:rFonts w:ascii="FrankRuehl" w:eastAsia="Calibri" w:hAnsi="FrankRuehl" w:cs="FrankRuehl" w:hint="cs"/>
          <w:sz w:val="28"/>
          <w:szCs w:val="28"/>
          <w:rtl/>
        </w:rPr>
        <w:t xml:space="preserve">לכאורה יש </w:t>
      </w:r>
      <w:r>
        <w:rPr>
          <w:rFonts w:ascii="FrankRuehl" w:eastAsia="Calibri" w:hAnsi="FrankRuehl" w:cs="FrankRuehl" w:hint="cs"/>
          <w:sz w:val="28"/>
          <w:szCs w:val="28"/>
          <w:rtl/>
        </w:rPr>
        <w:t>להביא בחשבון נטל חלקי</w:t>
      </w:r>
      <w:r w:rsidR="00043F3D">
        <w:rPr>
          <w:rFonts w:ascii="FrankRuehl" w:eastAsia="Calibri" w:hAnsi="FrankRuehl" w:cs="FrankRuehl" w:hint="cs"/>
          <w:sz w:val="28"/>
          <w:szCs w:val="28"/>
          <w:rtl/>
        </w:rPr>
        <w:t>,</w:t>
      </w:r>
      <w:r>
        <w:rPr>
          <w:rFonts w:ascii="FrankRuehl" w:eastAsia="Calibri" w:hAnsi="FrankRuehl" w:cs="FrankRuehl" w:hint="cs"/>
          <w:sz w:val="28"/>
          <w:szCs w:val="28"/>
          <w:rtl/>
        </w:rPr>
        <w:t xml:space="preserve"> </w:t>
      </w:r>
      <w:r w:rsidR="00043F3D">
        <w:rPr>
          <w:rFonts w:ascii="FrankRuehl" w:eastAsia="Calibri" w:hAnsi="FrankRuehl" w:cs="FrankRuehl" w:hint="cs"/>
          <w:sz w:val="28"/>
          <w:szCs w:val="28"/>
          <w:rtl/>
        </w:rPr>
        <w:t>גם אם נמוך מאוד - על כתפי התובעת, בכל הנוגע ל</w:t>
      </w:r>
      <w:r>
        <w:rPr>
          <w:rFonts w:ascii="FrankRuehl" w:eastAsia="Calibri" w:hAnsi="FrankRuehl" w:cs="FrankRuehl" w:hint="cs"/>
          <w:sz w:val="28"/>
          <w:szCs w:val="28"/>
          <w:rtl/>
        </w:rPr>
        <w:t>צרכי הקטינה</w:t>
      </w:r>
      <w:r w:rsidR="00043F3D">
        <w:rPr>
          <w:rFonts w:ascii="FrankRuehl" w:eastAsia="Calibri" w:hAnsi="FrankRuehl" w:cs="FrankRuehl" w:hint="cs"/>
          <w:sz w:val="28"/>
          <w:szCs w:val="28"/>
          <w:rtl/>
        </w:rPr>
        <w:t>.</w:t>
      </w:r>
    </w:p>
    <w:p w:rsidR="00DF44CA" w:rsidRDefault="00DF44CA" w:rsidP="00DF44CA">
      <w:pPr>
        <w:spacing w:after="160" w:line="360" w:lineRule="auto"/>
        <w:ind w:left="425" w:hanging="425"/>
        <w:contextualSpacing/>
        <w:jc w:val="both"/>
        <w:rPr>
          <w:rFonts w:ascii="FrankRuehl" w:eastAsia="Calibri" w:hAnsi="FrankRuehl" w:cs="FrankRuehl"/>
          <w:sz w:val="28"/>
          <w:szCs w:val="28"/>
          <w:rtl/>
        </w:rPr>
      </w:pPr>
    </w:p>
    <w:p w:rsidR="00C56454" w:rsidRDefault="00DF44CA" w:rsidP="00622D2C">
      <w:pPr>
        <w:spacing w:after="160" w:line="360" w:lineRule="auto"/>
        <w:ind w:left="425" w:hanging="425"/>
        <w:contextualSpacing/>
        <w:jc w:val="both"/>
        <w:rPr>
          <w:rFonts w:ascii="FrankRuehl" w:eastAsia="Calibri" w:hAnsi="FrankRuehl" w:cs="FrankRuehl"/>
          <w:b/>
          <w:bCs/>
          <w:sz w:val="28"/>
          <w:szCs w:val="28"/>
          <w:rtl/>
        </w:rPr>
      </w:pPr>
      <w:r>
        <w:rPr>
          <w:rFonts w:ascii="FrankRuehl" w:eastAsia="Calibri" w:hAnsi="FrankRuehl" w:cs="FrankRuehl" w:hint="cs"/>
          <w:sz w:val="28"/>
          <w:szCs w:val="28"/>
          <w:rtl/>
        </w:rPr>
        <w:t>33.</w:t>
      </w:r>
      <w:r>
        <w:rPr>
          <w:rFonts w:ascii="FrankRuehl" w:eastAsia="Calibri" w:hAnsi="FrankRuehl" w:cs="FrankRuehl" w:hint="cs"/>
          <w:sz w:val="28"/>
          <w:szCs w:val="28"/>
          <w:rtl/>
        </w:rPr>
        <w:tab/>
        <w:t xml:space="preserve">כמפורט לעיל, בסיכומיה, </w:t>
      </w:r>
      <w:r w:rsidR="00622D2C">
        <w:rPr>
          <w:rFonts w:ascii="FrankRuehl" w:eastAsia="Calibri" w:hAnsi="FrankRuehl" w:cs="FrankRuehl" w:hint="cs"/>
          <w:sz w:val="28"/>
          <w:szCs w:val="28"/>
          <w:rtl/>
        </w:rPr>
        <w:t>התובעת לא פירטה את סכום הכנסתה</w:t>
      </w:r>
      <w:r>
        <w:rPr>
          <w:rFonts w:ascii="FrankRuehl" w:eastAsia="Calibri" w:hAnsi="FrankRuehl" w:cs="FrankRuehl" w:hint="cs"/>
          <w:sz w:val="28"/>
          <w:szCs w:val="28"/>
          <w:rtl/>
        </w:rPr>
        <w:t xml:space="preserve"> אך אין ספק כי קיים פער הכנסות משמעותי בינה ובין </w:t>
      </w:r>
      <w:r w:rsidR="00622D2C">
        <w:rPr>
          <w:rFonts w:ascii="FrankRuehl" w:eastAsia="Calibri" w:hAnsi="FrankRuehl" w:cs="FrankRuehl" w:hint="cs"/>
          <w:sz w:val="28"/>
          <w:szCs w:val="28"/>
          <w:rtl/>
        </w:rPr>
        <w:t xml:space="preserve">הנתבע </w:t>
      </w:r>
      <w:r>
        <w:rPr>
          <w:rFonts w:ascii="FrankRuehl" w:eastAsia="Calibri" w:hAnsi="FrankRuehl" w:cs="FrankRuehl"/>
          <w:sz w:val="28"/>
          <w:szCs w:val="28"/>
          <w:rtl/>
        </w:rPr>
        <w:t>–</w:t>
      </w:r>
      <w:r>
        <w:rPr>
          <w:rFonts w:ascii="FrankRuehl" w:eastAsia="Calibri" w:hAnsi="FrankRuehl" w:cs="FrankRuehl" w:hint="cs"/>
          <w:sz w:val="28"/>
          <w:szCs w:val="28"/>
          <w:rtl/>
        </w:rPr>
        <w:t xml:space="preserve"> </w:t>
      </w:r>
      <w:r w:rsidR="00043F3D">
        <w:rPr>
          <w:rFonts w:ascii="FrankRuehl" w:eastAsia="Calibri" w:hAnsi="FrankRuehl" w:cs="FrankRuehl" w:hint="cs"/>
          <w:sz w:val="28"/>
          <w:szCs w:val="28"/>
          <w:rtl/>
        </w:rPr>
        <w:t xml:space="preserve">לאור כך מצד אחד ולאר </w:t>
      </w:r>
      <w:r>
        <w:rPr>
          <w:rFonts w:ascii="FrankRuehl" w:eastAsia="Calibri" w:hAnsi="FrankRuehl" w:cs="FrankRuehl" w:hint="cs"/>
          <w:sz w:val="28"/>
          <w:szCs w:val="28"/>
          <w:rtl/>
        </w:rPr>
        <w:t>פער יכולות אובייקט</w:t>
      </w:r>
      <w:r w:rsidR="00043F3D">
        <w:rPr>
          <w:rFonts w:ascii="FrankRuehl" w:eastAsia="Calibri" w:hAnsi="FrankRuehl" w:cs="FrankRuehl" w:hint="cs"/>
          <w:sz w:val="28"/>
          <w:szCs w:val="28"/>
          <w:rtl/>
        </w:rPr>
        <w:t>י</w:t>
      </w:r>
      <w:r>
        <w:rPr>
          <w:rFonts w:ascii="FrankRuehl" w:eastAsia="Calibri" w:hAnsi="FrankRuehl" w:cs="FrankRuehl" w:hint="cs"/>
          <w:sz w:val="28"/>
          <w:szCs w:val="28"/>
          <w:rtl/>
        </w:rPr>
        <w:t>בי</w:t>
      </w:r>
      <w:r w:rsidR="00043F3D">
        <w:rPr>
          <w:rFonts w:ascii="FrankRuehl" w:eastAsia="Calibri" w:hAnsi="FrankRuehl" w:cs="FrankRuehl" w:hint="cs"/>
          <w:sz w:val="28"/>
          <w:szCs w:val="28"/>
          <w:rtl/>
        </w:rPr>
        <w:t>ו</w:t>
      </w:r>
      <w:r>
        <w:rPr>
          <w:rFonts w:ascii="FrankRuehl" w:eastAsia="Calibri" w:hAnsi="FrankRuehl" w:cs="FrankRuehl" w:hint="cs"/>
          <w:sz w:val="28"/>
          <w:szCs w:val="28"/>
          <w:rtl/>
        </w:rPr>
        <w:t>ת ופיזי</w:t>
      </w:r>
      <w:r w:rsidR="00043F3D">
        <w:rPr>
          <w:rFonts w:ascii="FrankRuehl" w:eastAsia="Calibri" w:hAnsi="FrankRuehl" w:cs="FrankRuehl" w:hint="cs"/>
          <w:sz w:val="28"/>
          <w:szCs w:val="28"/>
          <w:rtl/>
        </w:rPr>
        <w:t>ות בין הצדדים מצד שני</w:t>
      </w:r>
      <w:r w:rsidR="00622D2C">
        <w:rPr>
          <w:rFonts w:ascii="FrankRuehl" w:eastAsia="Calibri" w:hAnsi="FrankRuehl" w:cs="FrankRuehl" w:hint="cs"/>
          <w:sz w:val="28"/>
          <w:szCs w:val="28"/>
          <w:rtl/>
        </w:rPr>
        <w:t>,</w:t>
      </w:r>
      <w:r w:rsidR="00043F3D">
        <w:rPr>
          <w:rFonts w:ascii="FrankRuehl" w:eastAsia="Calibri" w:hAnsi="FrankRuehl" w:cs="FrankRuehl" w:hint="cs"/>
          <w:sz w:val="28"/>
          <w:szCs w:val="28"/>
          <w:rtl/>
        </w:rPr>
        <w:t xml:space="preserve"> אך שהות הקטינה אצל </w:t>
      </w:r>
      <w:r w:rsidR="00622D2C">
        <w:rPr>
          <w:rFonts w:ascii="FrankRuehl" w:eastAsia="Calibri" w:hAnsi="FrankRuehl" w:cs="FrankRuehl" w:hint="cs"/>
          <w:sz w:val="28"/>
          <w:szCs w:val="28"/>
          <w:rtl/>
        </w:rPr>
        <w:t xml:space="preserve">התובעת </w:t>
      </w:r>
      <w:r w:rsidR="00043F3D">
        <w:rPr>
          <w:rFonts w:ascii="FrankRuehl" w:eastAsia="Calibri" w:hAnsi="FrankRuehl" w:cs="FrankRuehl" w:hint="cs"/>
          <w:sz w:val="28"/>
          <w:szCs w:val="28"/>
          <w:rtl/>
        </w:rPr>
        <w:t xml:space="preserve">ללא זמני שהות קבועים, </w:t>
      </w:r>
      <w:r w:rsidR="00C56454" w:rsidRPr="00DF5E91">
        <w:rPr>
          <w:rFonts w:ascii="FrankRuehl" w:eastAsia="Calibri" w:hAnsi="FrankRuehl" w:cs="FrankRuehl" w:hint="cs"/>
          <w:b/>
          <w:bCs/>
          <w:sz w:val="28"/>
          <w:szCs w:val="28"/>
          <w:rtl/>
        </w:rPr>
        <w:t xml:space="preserve">אני מחייבת את הנתבע </w:t>
      </w:r>
      <w:r w:rsidRPr="00DF5E91">
        <w:rPr>
          <w:rFonts w:ascii="FrankRuehl" w:eastAsia="Calibri" w:hAnsi="FrankRuehl" w:cs="FrankRuehl" w:hint="cs"/>
          <w:b/>
          <w:bCs/>
          <w:sz w:val="28"/>
          <w:szCs w:val="28"/>
          <w:rtl/>
        </w:rPr>
        <w:t xml:space="preserve">בתשלום סך </w:t>
      </w:r>
      <w:r w:rsidR="00C56454" w:rsidRPr="00DF5E91">
        <w:rPr>
          <w:rFonts w:ascii="FrankRuehl" w:eastAsia="Calibri" w:hAnsi="FrankRuehl" w:cs="FrankRuehl" w:hint="cs"/>
          <w:b/>
          <w:bCs/>
          <w:sz w:val="28"/>
          <w:szCs w:val="28"/>
          <w:rtl/>
        </w:rPr>
        <w:t>1,400 ₪ לחודש</w:t>
      </w:r>
      <w:r w:rsidR="00622D2C">
        <w:rPr>
          <w:rFonts w:ascii="FrankRuehl" w:eastAsia="Calibri" w:hAnsi="FrankRuehl" w:cs="FrankRuehl" w:hint="cs"/>
          <w:b/>
          <w:bCs/>
          <w:sz w:val="28"/>
          <w:szCs w:val="28"/>
          <w:rtl/>
        </w:rPr>
        <w:t xml:space="preserve"> עבור מזונות הקטינה.</w:t>
      </w:r>
    </w:p>
    <w:p w:rsidR="00DF5E91" w:rsidRDefault="00DF5E91" w:rsidP="00043F3D">
      <w:pPr>
        <w:spacing w:after="160" w:line="360" w:lineRule="auto"/>
        <w:ind w:left="425" w:hanging="425"/>
        <w:contextualSpacing/>
        <w:jc w:val="both"/>
        <w:rPr>
          <w:rFonts w:ascii="FrankRuehl" w:eastAsia="Calibri" w:hAnsi="FrankRuehl" w:cs="FrankRuehl"/>
          <w:b/>
          <w:bCs/>
          <w:sz w:val="28"/>
          <w:szCs w:val="28"/>
          <w:rtl/>
        </w:rPr>
      </w:pPr>
    </w:p>
    <w:p w:rsidR="006519AB" w:rsidRDefault="006519AB" w:rsidP="00043F3D">
      <w:pPr>
        <w:spacing w:after="160" w:line="360" w:lineRule="auto"/>
        <w:ind w:left="425" w:hanging="425"/>
        <w:contextualSpacing/>
        <w:jc w:val="both"/>
        <w:rPr>
          <w:rFonts w:ascii="FrankRuehl" w:eastAsia="Calibri" w:hAnsi="FrankRuehl" w:cs="FrankRuehl"/>
          <w:b/>
          <w:bCs/>
          <w:sz w:val="28"/>
          <w:szCs w:val="28"/>
          <w:rtl/>
        </w:rPr>
      </w:pPr>
    </w:p>
    <w:p w:rsidR="00DF5E91" w:rsidRDefault="00DF5E91" w:rsidP="00DF5E91">
      <w:pPr>
        <w:spacing w:after="160" w:line="360" w:lineRule="auto"/>
        <w:ind w:left="425" w:hanging="425"/>
        <w:contextualSpacing/>
        <w:jc w:val="both"/>
        <w:rPr>
          <w:rFonts w:ascii="FrankRuehl" w:eastAsia="Calibri" w:hAnsi="FrankRuehl" w:cs="FrankRuehl"/>
          <w:sz w:val="28"/>
          <w:szCs w:val="28"/>
          <w:rtl/>
        </w:rPr>
      </w:pPr>
      <w:r>
        <w:rPr>
          <w:rFonts w:ascii="FrankRuehl" w:eastAsia="Calibri" w:hAnsi="FrankRuehl" w:cs="FrankRuehl" w:hint="cs"/>
          <w:sz w:val="28"/>
          <w:szCs w:val="28"/>
          <w:rtl/>
        </w:rPr>
        <w:t>34.</w:t>
      </w:r>
      <w:r>
        <w:rPr>
          <w:rFonts w:ascii="FrankRuehl" w:eastAsia="Calibri" w:hAnsi="FrankRuehl" w:cs="FrankRuehl" w:hint="cs"/>
          <w:sz w:val="28"/>
          <w:szCs w:val="28"/>
          <w:rtl/>
        </w:rPr>
        <w:tab/>
        <w:t xml:space="preserve">נוסף על כך, בהוצאות חריגות של הקטינה שהן הוצאות חינוך או בריאות, ישאו ההורים בחלקים שאינם שווים. התובעת תישא בשיעור של 25% והנתבע בשיעור של 75%. התשלום יחולק לאחר קיזוז קצבאות המוסד לביטוח לאומי אם ישולמו עבור הקטינה (לרבות קצבת הילדים) ולאחר קיזוז הטבות להם תהא זכאית האם מצדדי ג'. </w:t>
      </w:r>
    </w:p>
    <w:p w:rsidR="006519AB" w:rsidRPr="00DF5E91" w:rsidRDefault="006519AB" w:rsidP="00DF5E91">
      <w:pPr>
        <w:spacing w:after="160" w:line="360" w:lineRule="auto"/>
        <w:ind w:left="425" w:hanging="425"/>
        <w:contextualSpacing/>
        <w:jc w:val="both"/>
        <w:rPr>
          <w:rFonts w:ascii="FrankRuehl" w:eastAsia="Calibri" w:hAnsi="FrankRuehl" w:cs="FrankRuehl"/>
          <w:sz w:val="28"/>
          <w:szCs w:val="28"/>
          <w:rtl/>
        </w:rPr>
      </w:pPr>
    </w:p>
    <w:p w:rsidR="00166726" w:rsidRDefault="00C56454" w:rsidP="00622D2C">
      <w:pPr>
        <w:spacing w:after="160" w:line="360" w:lineRule="auto"/>
        <w:ind w:left="425" w:hanging="425"/>
        <w:contextualSpacing/>
        <w:jc w:val="both"/>
        <w:rPr>
          <w:rFonts w:ascii="FrankRuehl" w:eastAsia="Calibri" w:hAnsi="FrankRuehl" w:cs="FrankRuehl"/>
          <w:sz w:val="28"/>
          <w:szCs w:val="28"/>
          <w:rtl/>
        </w:rPr>
      </w:pPr>
      <w:r>
        <w:rPr>
          <w:rFonts w:ascii="FrankRuehl" w:eastAsia="Calibri" w:hAnsi="FrankRuehl" w:cs="FrankRuehl" w:hint="cs"/>
          <w:sz w:val="28"/>
          <w:szCs w:val="28"/>
          <w:rtl/>
        </w:rPr>
        <w:t>3</w:t>
      </w:r>
      <w:r w:rsidR="00D63091">
        <w:rPr>
          <w:rFonts w:ascii="FrankRuehl" w:eastAsia="Calibri" w:hAnsi="FrankRuehl" w:cs="FrankRuehl" w:hint="cs"/>
          <w:sz w:val="28"/>
          <w:szCs w:val="28"/>
          <w:rtl/>
        </w:rPr>
        <w:t>5</w:t>
      </w:r>
      <w:r>
        <w:rPr>
          <w:rFonts w:ascii="FrankRuehl" w:eastAsia="Calibri" w:hAnsi="FrankRuehl" w:cs="FrankRuehl" w:hint="cs"/>
          <w:sz w:val="28"/>
          <w:szCs w:val="28"/>
          <w:rtl/>
        </w:rPr>
        <w:t>.</w:t>
      </w:r>
      <w:r>
        <w:rPr>
          <w:rFonts w:ascii="FrankRuehl" w:eastAsia="Calibri" w:hAnsi="FrankRuehl" w:cs="FrankRuehl"/>
          <w:sz w:val="28"/>
          <w:szCs w:val="28"/>
          <w:rtl/>
        </w:rPr>
        <w:tab/>
      </w:r>
      <w:r w:rsidRPr="00327FA9">
        <w:rPr>
          <w:rFonts w:ascii="FrankRuehl" w:eastAsia="Calibri" w:hAnsi="FrankRuehl" w:cs="FrankRuehl" w:hint="cs"/>
          <w:b/>
          <w:bCs/>
          <w:sz w:val="28"/>
          <w:szCs w:val="28"/>
          <w:u w:val="single"/>
          <w:rtl/>
        </w:rPr>
        <w:t>אשר למדור</w:t>
      </w:r>
      <w:r w:rsidRPr="00622D2C">
        <w:rPr>
          <w:rFonts w:ascii="FrankRuehl" w:eastAsia="Calibri" w:hAnsi="FrankRuehl" w:cs="FrankRuehl" w:hint="cs"/>
          <w:b/>
          <w:bCs/>
          <w:sz w:val="28"/>
          <w:szCs w:val="28"/>
          <w:rtl/>
        </w:rPr>
        <w:t>,</w:t>
      </w:r>
      <w:r>
        <w:rPr>
          <w:rFonts w:ascii="FrankRuehl" w:eastAsia="Calibri" w:hAnsi="FrankRuehl" w:cs="FrankRuehl" w:hint="cs"/>
          <w:sz w:val="28"/>
          <w:szCs w:val="28"/>
          <w:rtl/>
        </w:rPr>
        <w:t xml:space="preserve"> מאחר והתובעת מתגוררת עם</w:t>
      </w:r>
      <w:r w:rsidR="00327FA9">
        <w:rPr>
          <w:rFonts w:ascii="FrankRuehl" w:eastAsia="Calibri" w:hAnsi="FrankRuehl" w:cs="FrankRuehl" w:hint="cs"/>
          <w:sz w:val="28"/>
          <w:szCs w:val="28"/>
          <w:rtl/>
        </w:rPr>
        <w:t xml:space="preserve"> הקטינה ביחידה שהיא בבית הוריה, ולא הוכח תשלום </w:t>
      </w:r>
      <w:r w:rsidR="00023B59">
        <w:rPr>
          <w:rFonts w:ascii="FrankRuehl" w:eastAsia="Calibri" w:hAnsi="FrankRuehl" w:cs="FrankRuehl" w:hint="cs"/>
          <w:sz w:val="28"/>
          <w:szCs w:val="28"/>
          <w:rtl/>
        </w:rPr>
        <w:t xml:space="preserve">בפועל </w:t>
      </w:r>
      <w:r w:rsidR="00327FA9">
        <w:rPr>
          <w:rFonts w:ascii="FrankRuehl" w:eastAsia="Calibri" w:hAnsi="FrankRuehl" w:cs="FrankRuehl" w:hint="cs"/>
          <w:sz w:val="28"/>
          <w:szCs w:val="28"/>
          <w:rtl/>
        </w:rPr>
        <w:t xml:space="preserve">עבור מגוריה, איני מחייבת </w:t>
      </w:r>
      <w:r w:rsidR="00622D2C">
        <w:rPr>
          <w:rFonts w:ascii="FrankRuehl" w:eastAsia="Calibri" w:hAnsi="FrankRuehl" w:cs="FrankRuehl" w:hint="cs"/>
          <w:sz w:val="28"/>
          <w:szCs w:val="28"/>
          <w:rtl/>
        </w:rPr>
        <w:t xml:space="preserve">הנתבע </w:t>
      </w:r>
      <w:r w:rsidR="00327FA9">
        <w:rPr>
          <w:rFonts w:ascii="FrankRuehl" w:eastAsia="Calibri" w:hAnsi="FrankRuehl" w:cs="FrankRuehl" w:hint="cs"/>
          <w:sz w:val="28"/>
          <w:szCs w:val="28"/>
          <w:rtl/>
        </w:rPr>
        <w:t xml:space="preserve">במדור בשלב זה. עם זאת, אם </w:t>
      </w:r>
      <w:r w:rsidR="00622D2C">
        <w:rPr>
          <w:rFonts w:ascii="FrankRuehl" w:eastAsia="Calibri" w:hAnsi="FrankRuehl" w:cs="FrankRuehl" w:hint="cs"/>
          <w:sz w:val="28"/>
          <w:szCs w:val="28"/>
          <w:rtl/>
        </w:rPr>
        <w:t xml:space="preserve">התובעת </w:t>
      </w:r>
      <w:r w:rsidR="00327FA9">
        <w:rPr>
          <w:rFonts w:ascii="FrankRuehl" w:eastAsia="Calibri" w:hAnsi="FrankRuehl" w:cs="FrankRuehl" w:hint="cs"/>
          <w:sz w:val="28"/>
          <w:szCs w:val="28"/>
          <w:rtl/>
        </w:rPr>
        <w:t>תציג הסכם שכירות תקף ומחייב ו</w:t>
      </w:r>
      <w:r w:rsidR="00023B59">
        <w:rPr>
          <w:rFonts w:ascii="FrankRuehl" w:eastAsia="Calibri" w:hAnsi="FrankRuehl" w:cs="FrankRuehl" w:hint="cs"/>
          <w:sz w:val="28"/>
          <w:szCs w:val="28"/>
          <w:rtl/>
        </w:rPr>
        <w:t xml:space="preserve">גם ביצוע </w:t>
      </w:r>
      <w:r w:rsidR="00327FA9">
        <w:rPr>
          <w:rFonts w:ascii="FrankRuehl" w:eastAsia="Calibri" w:hAnsi="FrankRuehl" w:cs="FrankRuehl" w:hint="cs"/>
          <w:sz w:val="28"/>
          <w:szCs w:val="28"/>
          <w:rtl/>
        </w:rPr>
        <w:t xml:space="preserve">תשלומים בפועל </w:t>
      </w:r>
      <w:r w:rsidR="00622D2C">
        <w:rPr>
          <w:rFonts w:ascii="FrankRuehl" w:eastAsia="Calibri" w:hAnsi="FrankRuehl" w:cs="FrankRuehl" w:hint="cs"/>
          <w:sz w:val="28"/>
          <w:szCs w:val="28"/>
          <w:rtl/>
        </w:rPr>
        <w:t xml:space="preserve">- </w:t>
      </w:r>
      <w:r w:rsidR="00327FA9" w:rsidRPr="00023B59">
        <w:rPr>
          <w:rFonts w:ascii="FrankRuehl" w:eastAsia="Calibri" w:hAnsi="FrankRuehl" w:cs="FrankRuehl" w:hint="cs"/>
          <w:b/>
          <w:bCs/>
          <w:sz w:val="28"/>
          <w:szCs w:val="28"/>
          <w:rtl/>
        </w:rPr>
        <w:t xml:space="preserve">יתווסף למזונות שיעור השווה ל25% מדמי השכירות או המשכנתא שתשולם על ידי </w:t>
      </w:r>
      <w:r w:rsidR="00622D2C">
        <w:rPr>
          <w:rFonts w:ascii="FrankRuehl" w:eastAsia="Calibri" w:hAnsi="FrankRuehl" w:cs="FrankRuehl" w:hint="cs"/>
          <w:b/>
          <w:bCs/>
          <w:sz w:val="28"/>
          <w:szCs w:val="28"/>
          <w:rtl/>
        </w:rPr>
        <w:t>התובעת</w:t>
      </w:r>
      <w:r w:rsidR="00327FA9" w:rsidRPr="00023B59">
        <w:rPr>
          <w:rFonts w:ascii="FrankRuehl" w:eastAsia="Calibri" w:hAnsi="FrankRuehl" w:cs="FrankRuehl" w:hint="cs"/>
          <w:b/>
          <w:bCs/>
          <w:sz w:val="28"/>
          <w:szCs w:val="28"/>
          <w:rtl/>
        </w:rPr>
        <w:t xml:space="preserve"> למגורי הקטינה</w:t>
      </w:r>
      <w:r w:rsidR="00622D2C">
        <w:rPr>
          <w:rFonts w:ascii="FrankRuehl" w:eastAsia="Calibri" w:hAnsi="FrankRuehl" w:cs="FrankRuehl" w:hint="cs"/>
          <w:b/>
          <w:bCs/>
          <w:sz w:val="28"/>
          <w:szCs w:val="28"/>
          <w:rtl/>
        </w:rPr>
        <w:t>,</w:t>
      </w:r>
      <w:r w:rsidR="00327FA9" w:rsidRPr="00023B59">
        <w:rPr>
          <w:rFonts w:ascii="FrankRuehl" w:eastAsia="Calibri" w:hAnsi="FrankRuehl" w:cs="FrankRuehl" w:hint="cs"/>
          <w:b/>
          <w:bCs/>
          <w:sz w:val="28"/>
          <w:szCs w:val="28"/>
          <w:rtl/>
        </w:rPr>
        <w:t xml:space="preserve"> ולא יותר מסך 500 ₪</w:t>
      </w:r>
      <w:r w:rsidR="00DF44CA" w:rsidRPr="00023B59">
        <w:rPr>
          <w:rFonts w:ascii="FrankRuehl" w:eastAsia="Calibri" w:hAnsi="FrankRuehl" w:cs="FrankRuehl" w:hint="cs"/>
          <w:b/>
          <w:bCs/>
          <w:sz w:val="28"/>
          <w:szCs w:val="28"/>
          <w:rtl/>
        </w:rPr>
        <w:t xml:space="preserve"> לחודש.</w:t>
      </w:r>
    </w:p>
    <w:p w:rsidR="00DF44CA" w:rsidRDefault="00DF44CA" w:rsidP="00DF44CA">
      <w:pPr>
        <w:spacing w:after="160" w:line="360" w:lineRule="auto"/>
        <w:ind w:left="425" w:hanging="425"/>
        <w:contextualSpacing/>
        <w:jc w:val="both"/>
        <w:rPr>
          <w:rFonts w:ascii="FrankRuehl" w:eastAsia="Calibri" w:hAnsi="FrankRuehl" w:cs="FrankRuehl"/>
          <w:sz w:val="28"/>
          <w:szCs w:val="28"/>
          <w:rtl/>
        </w:rPr>
      </w:pPr>
    </w:p>
    <w:p w:rsidR="00593C96" w:rsidRDefault="00DF44CA" w:rsidP="00D63091">
      <w:pPr>
        <w:spacing w:after="160" w:line="360" w:lineRule="auto"/>
        <w:ind w:left="425" w:hanging="425"/>
        <w:contextualSpacing/>
        <w:jc w:val="both"/>
        <w:rPr>
          <w:rFonts w:ascii="FrankRuehl" w:eastAsia="Calibri" w:hAnsi="FrankRuehl" w:cs="FrankRuehl"/>
          <w:sz w:val="28"/>
          <w:szCs w:val="28"/>
          <w:rtl/>
        </w:rPr>
      </w:pPr>
      <w:r>
        <w:rPr>
          <w:rFonts w:ascii="FrankRuehl" w:eastAsia="Calibri" w:hAnsi="FrankRuehl" w:cs="FrankRuehl" w:hint="cs"/>
          <w:sz w:val="28"/>
          <w:szCs w:val="28"/>
          <w:rtl/>
        </w:rPr>
        <w:t>3</w:t>
      </w:r>
      <w:r w:rsidR="00D63091">
        <w:rPr>
          <w:rFonts w:ascii="FrankRuehl" w:eastAsia="Calibri" w:hAnsi="FrankRuehl" w:cs="FrankRuehl" w:hint="cs"/>
          <w:sz w:val="28"/>
          <w:szCs w:val="28"/>
          <w:rtl/>
        </w:rPr>
        <w:t>6</w:t>
      </w:r>
      <w:r>
        <w:rPr>
          <w:rFonts w:ascii="FrankRuehl" w:eastAsia="Calibri" w:hAnsi="FrankRuehl" w:cs="FrankRuehl" w:hint="cs"/>
          <w:sz w:val="28"/>
          <w:szCs w:val="28"/>
          <w:rtl/>
        </w:rPr>
        <w:t>.</w:t>
      </w:r>
      <w:r>
        <w:rPr>
          <w:rFonts w:ascii="FrankRuehl" w:eastAsia="Calibri" w:hAnsi="FrankRuehl" w:cs="FrankRuehl" w:hint="cs"/>
          <w:sz w:val="28"/>
          <w:szCs w:val="28"/>
          <w:rtl/>
        </w:rPr>
        <w:tab/>
      </w:r>
      <w:r>
        <w:rPr>
          <w:rFonts w:ascii="FrankRuehl" w:eastAsia="Calibri" w:hAnsi="FrankRuehl" w:cs="FrankRuehl" w:hint="cs"/>
          <w:b/>
          <w:bCs/>
          <w:sz w:val="28"/>
          <w:szCs w:val="28"/>
          <w:u w:val="single"/>
          <w:rtl/>
        </w:rPr>
        <w:t>אשר למזונות התובעת</w:t>
      </w:r>
      <w:r w:rsidRPr="00622D2C">
        <w:rPr>
          <w:rFonts w:ascii="FrankRuehl" w:eastAsia="Calibri" w:hAnsi="FrankRuehl" w:cs="FrankRuehl" w:hint="cs"/>
          <w:sz w:val="28"/>
          <w:szCs w:val="28"/>
          <w:rtl/>
        </w:rPr>
        <w:t>,</w:t>
      </w:r>
      <w:r w:rsidRPr="00622D2C">
        <w:rPr>
          <w:rFonts w:ascii="FrankRuehl" w:eastAsia="Calibri" w:hAnsi="FrankRuehl" w:cs="FrankRuehl" w:hint="cs"/>
          <w:b/>
          <w:bCs/>
          <w:sz w:val="28"/>
          <w:szCs w:val="28"/>
          <w:rtl/>
        </w:rPr>
        <w:t xml:space="preserve"> </w:t>
      </w:r>
      <w:r w:rsidR="00593C96">
        <w:rPr>
          <w:rFonts w:ascii="FrankRuehl" w:eastAsia="Calibri" w:hAnsi="FrankRuehl" w:cs="FrankRuehl" w:hint="cs"/>
          <w:sz w:val="28"/>
          <w:szCs w:val="28"/>
          <w:rtl/>
        </w:rPr>
        <w:t xml:space="preserve">גם בעניין זה הצדדים לא הוכיחו צרכי התובעת. </w:t>
      </w:r>
    </w:p>
    <w:p w:rsidR="00593C96" w:rsidRDefault="00593C96" w:rsidP="00622D2C">
      <w:pPr>
        <w:spacing w:after="160" w:line="360" w:lineRule="auto"/>
        <w:ind w:left="425" w:hanging="425"/>
        <w:contextualSpacing/>
        <w:jc w:val="both"/>
        <w:rPr>
          <w:rFonts w:ascii="FrankRuehl" w:eastAsia="Calibri" w:hAnsi="FrankRuehl" w:cs="FrankRuehl"/>
          <w:sz w:val="28"/>
          <w:szCs w:val="28"/>
          <w:rtl/>
        </w:rPr>
      </w:pPr>
      <w:r>
        <w:rPr>
          <w:rFonts w:ascii="FrankRuehl" w:eastAsia="Calibri" w:hAnsi="FrankRuehl" w:cs="FrankRuehl" w:hint="cs"/>
          <w:sz w:val="28"/>
          <w:szCs w:val="28"/>
          <w:rtl/>
        </w:rPr>
        <w:tab/>
        <w:t>לא זו אף זו אלא שהתובעת גם לא הוכיחה כי</w:t>
      </w:r>
      <w:r w:rsidR="00EA7545">
        <w:rPr>
          <w:rFonts w:ascii="FrankRuehl" w:eastAsia="Calibri" w:hAnsi="FrankRuehl" w:cs="FrankRuehl" w:hint="cs"/>
          <w:sz w:val="28"/>
          <w:szCs w:val="28"/>
          <w:rtl/>
        </w:rPr>
        <w:t xml:space="preserve"> הכנסתה אין בה די לסיפוק צרכיה וגם לא הוכיחה כי אין באפשרותה להשתכר. אמנם נטען כי </w:t>
      </w:r>
      <w:r w:rsidR="00622D2C">
        <w:rPr>
          <w:rFonts w:ascii="FrankRuehl" w:eastAsia="Calibri" w:hAnsi="FrankRuehl" w:cs="FrankRuehl" w:hint="cs"/>
          <w:sz w:val="28"/>
          <w:szCs w:val="28"/>
          <w:rtl/>
        </w:rPr>
        <w:t>התובעת</w:t>
      </w:r>
      <w:r w:rsidR="00EA7545">
        <w:rPr>
          <w:rFonts w:ascii="FrankRuehl" w:eastAsia="Calibri" w:hAnsi="FrankRuehl" w:cs="FrankRuehl" w:hint="cs"/>
          <w:sz w:val="28"/>
          <w:szCs w:val="28"/>
          <w:rtl/>
        </w:rPr>
        <w:t xml:space="preserve"> בעלת נכות בשל עבר של מחלה קשה, אך המסמכים הרפואים שצורפו הם משנת 2018-2017 וכפי שציינתי לעיל, קבלת ק</w:t>
      </w:r>
      <w:r w:rsidR="00622D2C">
        <w:rPr>
          <w:rFonts w:ascii="FrankRuehl" w:eastAsia="Calibri" w:hAnsi="FrankRuehl" w:cs="FrankRuehl" w:hint="cs"/>
          <w:sz w:val="28"/>
          <w:szCs w:val="28"/>
          <w:rtl/>
        </w:rPr>
        <w:t>ִ</w:t>
      </w:r>
      <w:r w:rsidR="00EA7545">
        <w:rPr>
          <w:rFonts w:ascii="FrankRuehl" w:eastAsia="Calibri" w:hAnsi="FrankRuehl" w:cs="FrankRuehl" w:hint="cs"/>
          <w:sz w:val="28"/>
          <w:szCs w:val="28"/>
          <w:rtl/>
        </w:rPr>
        <w:t xml:space="preserve">צבת נכות אינה חזות הכל </w:t>
      </w:r>
      <w:r w:rsidR="00EA7545">
        <w:rPr>
          <w:rFonts w:ascii="FrankRuehl" w:eastAsia="Calibri" w:hAnsi="FrankRuehl" w:cs="FrankRuehl"/>
          <w:sz w:val="28"/>
          <w:szCs w:val="28"/>
          <w:rtl/>
        </w:rPr>
        <w:t>–</w:t>
      </w:r>
      <w:r w:rsidR="00EA7545">
        <w:rPr>
          <w:rFonts w:ascii="FrankRuehl" w:eastAsia="Calibri" w:hAnsi="FrankRuehl" w:cs="FrankRuehl" w:hint="cs"/>
          <w:sz w:val="28"/>
          <w:szCs w:val="28"/>
          <w:rtl/>
        </w:rPr>
        <w:t xml:space="preserve"> יש להוכיח בראיות ממשיות חוסר יכולת להתפרנס.</w:t>
      </w:r>
    </w:p>
    <w:p w:rsidR="00593C96" w:rsidRDefault="00593C96" w:rsidP="00593C96">
      <w:pPr>
        <w:spacing w:after="160" w:line="360" w:lineRule="auto"/>
        <w:ind w:left="425" w:hanging="425"/>
        <w:contextualSpacing/>
        <w:jc w:val="both"/>
        <w:rPr>
          <w:rFonts w:ascii="FrankRuehl" w:eastAsia="Calibri" w:hAnsi="FrankRuehl" w:cs="FrankRuehl"/>
          <w:sz w:val="28"/>
          <w:szCs w:val="28"/>
          <w:rtl/>
        </w:rPr>
      </w:pPr>
    </w:p>
    <w:p w:rsidR="005A144B" w:rsidRDefault="00593C96" w:rsidP="00EA7545">
      <w:pPr>
        <w:spacing w:after="160" w:line="360" w:lineRule="auto"/>
        <w:ind w:left="425" w:hanging="425"/>
        <w:contextualSpacing/>
        <w:jc w:val="both"/>
        <w:rPr>
          <w:rFonts w:ascii="FrankRuehl" w:hAnsi="FrankRuehl" w:cs="FrankRuehl"/>
          <w:sz w:val="28"/>
          <w:szCs w:val="28"/>
          <w:rtl/>
        </w:rPr>
      </w:pPr>
      <w:r>
        <w:rPr>
          <w:rFonts w:ascii="FrankRuehl" w:eastAsia="Calibri" w:hAnsi="FrankRuehl" w:cs="FrankRuehl" w:hint="cs"/>
          <w:sz w:val="28"/>
          <w:szCs w:val="28"/>
          <w:rtl/>
        </w:rPr>
        <w:t>37.</w:t>
      </w:r>
      <w:r>
        <w:rPr>
          <w:rFonts w:ascii="FrankRuehl" w:eastAsia="Calibri" w:hAnsi="FrankRuehl" w:cs="FrankRuehl" w:hint="cs"/>
          <w:sz w:val="28"/>
          <w:szCs w:val="28"/>
          <w:rtl/>
        </w:rPr>
        <w:tab/>
      </w:r>
      <w:r w:rsidR="00EA7545">
        <w:rPr>
          <w:rFonts w:ascii="FrankRuehl" w:eastAsia="Calibri" w:hAnsi="FrankRuehl" w:cs="FrankRuehl" w:hint="cs"/>
          <w:sz w:val="28"/>
          <w:szCs w:val="28"/>
          <w:rtl/>
        </w:rPr>
        <w:t>נוסף על כך, ב</w:t>
      </w:r>
      <w:r>
        <w:rPr>
          <w:rFonts w:ascii="FrankRuehl" w:eastAsia="Calibri" w:hAnsi="FrankRuehl" w:cs="FrankRuehl" w:hint="cs"/>
          <w:sz w:val="28"/>
          <w:szCs w:val="28"/>
          <w:rtl/>
        </w:rPr>
        <w:t xml:space="preserve">נסיבות דומות כבמקרה כאן, </w:t>
      </w:r>
      <w:r w:rsidR="00A86ABE">
        <w:rPr>
          <w:rFonts w:ascii="FrankRuehl" w:eastAsia="Calibri" w:hAnsi="FrankRuehl" w:cs="FrankRuehl" w:hint="cs"/>
          <w:sz w:val="28"/>
          <w:szCs w:val="28"/>
          <w:rtl/>
        </w:rPr>
        <w:t>נפסק כי אין מדובר בצרכים גבוהים</w:t>
      </w:r>
      <w:r>
        <w:rPr>
          <w:rFonts w:ascii="FrankRuehl" w:eastAsia="Calibri" w:hAnsi="FrankRuehl" w:cs="FrankRuehl" w:hint="cs"/>
          <w:sz w:val="28"/>
          <w:szCs w:val="28"/>
          <w:rtl/>
        </w:rPr>
        <w:t xml:space="preserve"> </w:t>
      </w:r>
      <w:r w:rsidR="005A144B" w:rsidRPr="00DF44CA">
        <w:rPr>
          <w:rFonts w:ascii="FrankRuehl" w:hAnsi="FrankRuehl" w:cs="FrankRuehl"/>
          <w:sz w:val="28"/>
          <w:szCs w:val="28"/>
          <w:rtl/>
        </w:rPr>
        <w:t xml:space="preserve">מאחר והיא מתגוררת </w:t>
      </w:r>
      <w:r>
        <w:rPr>
          <w:rFonts w:ascii="FrankRuehl" w:hAnsi="FrankRuehl" w:cs="FrankRuehl" w:hint="cs"/>
          <w:sz w:val="28"/>
          <w:szCs w:val="28"/>
          <w:rtl/>
        </w:rPr>
        <w:t>ב</w:t>
      </w:r>
      <w:r w:rsidR="005A144B" w:rsidRPr="00DF44CA">
        <w:rPr>
          <w:rFonts w:ascii="FrankRuehl" w:hAnsi="FrankRuehl" w:cs="FrankRuehl"/>
          <w:sz w:val="28"/>
          <w:szCs w:val="28"/>
          <w:rtl/>
        </w:rPr>
        <w:t xml:space="preserve">בית </w:t>
      </w:r>
      <w:r w:rsidR="00A86ABE">
        <w:rPr>
          <w:rFonts w:ascii="FrankRuehl" w:hAnsi="FrankRuehl" w:cs="FrankRuehl"/>
          <w:sz w:val="28"/>
          <w:szCs w:val="28"/>
          <w:rtl/>
        </w:rPr>
        <w:t>הוריה. ראו תמ</w:t>
      </w:r>
      <w:r w:rsidR="00A86ABE">
        <w:rPr>
          <w:rFonts w:ascii="FrankRuehl" w:hAnsi="FrankRuehl" w:cs="FrankRuehl" w:hint="cs"/>
          <w:sz w:val="28"/>
          <w:szCs w:val="28"/>
          <w:rtl/>
        </w:rPr>
        <w:t>"</w:t>
      </w:r>
      <w:r w:rsidR="00A86ABE">
        <w:rPr>
          <w:rFonts w:ascii="FrankRuehl" w:hAnsi="FrankRuehl" w:cs="FrankRuehl"/>
          <w:sz w:val="28"/>
          <w:szCs w:val="28"/>
          <w:rtl/>
        </w:rPr>
        <w:t>ז</w:t>
      </w:r>
      <w:r w:rsidR="00D859D1">
        <w:rPr>
          <w:rFonts w:ascii="FrankRuehl" w:hAnsi="FrankRuehl" w:cs="FrankRuehl" w:hint="cs"/>
          <w:sz w:val="28"/>
          <w:szCs w:val="28"/>
          <w:rtl/>
        </w:rPr>
        <w:t xml:space="preserve"> (חי)</w:t>
      </w:r>
      <w:r w:rsidR="005A144B" w:rsidRPr="00DF44CA">
        <w:rPr>
          <w:rFonts w:ascii="FrankRuehl" w:hAnsi="FrankRuehl" w:cs="FrankRuehl"/>
          <w:sz w:val="28"/>
          <w:szCs w:val="28"/>
          <w:rtl/>
        </w:rPr>
        <w:t xml:space="preserve"> 54/69 </w:t>
      </w:r>
      <w:r w:rsidR="005A144B" w:rsidRPr="00DF44CA">
        <w:rPr>
          <w:rFonts w:ascii="FrankRuehl" w:hAnsi="FrankRuehl" w:cs="FrankRuehl"/>
          <w:b/>
          <w:bCs/>
          <w:sz w:val="28"/>
          <w:szCs w:val="28"/>
          <w:rtl/>
        </w:rPr>
        <w:t>ג'מילה סאלח שוואח נ' נואף מוחמד חלבי</w:t>
      </w:r>
      <w:r w:rsidR="005A144B" w:rsidRPr="00DF44CA">
        <w:rPr>
          <w:rFonts w:ascii="FrankRuehl" w:hAnsi="FrankRuehl" w:cs="FrankRuehl"/>
          <w:sz w:val="28"/>
          <w:szCs w:val="28"/>
          <w:rtl/>
        </w:rPr>
        <w:t>, פס"מ ע"ג</w:t>
      </w:r>
      <w:r w:rsidR="00D859D1">
        <w:rPr>
          <w:rFonts w:ascii="FrankRuehl" w:hAnsi="FrankRuehl" w:cs="FrankRuehl" w:hint="cs"/>
          <w:sz w:val="28"/>
          <w:szCs w:val="28"/>
          <w:rtl/>
        </w:rPr>
        <w:t xml:space="preserve"> (1)</w:t>
      </w:r>
      <w:r w:rsidR="005A144B" w:rsidRPr="00DF44CA">
        <w:rPr>
          <w:rFonts w:ascii="FrankRuehl" w:hAnsi="FrankRuehl" w:cs="FrankRuehl"/>
          <w:sz w:val="28"/>
          <w:szCs w:val="28"/>
          <w:rtl/>
        </w:rPr>
        <w:t xml:space="preserve"> 58, פסקה 12.</w:t>
      </w:r>
      <w:r>
        <w:rPr>
          <w:rFonts w:ascii="FrankRuehl" w:hAnsi="FrankRuehl" w:cs="FrankRuehl" w:hint="cs"/>
          <w:sz w:val="28"/>
          <w:szCs w:val="28"/>
          <w:rtl/>
        </w:rPr>
        <w:t xml:space="preserve"> עוד אוסיף כי הצרכים שפורטו בכתב התביעה, לטעמי מופרזים ומוגזים ולראיה, בסיכומיה עתרה התובעת לסכום השווה לשיעור כ-1/3 מהסכום הנתבע. די בפער</w:t>
      </w:r>
      <w:r w:rsidR="00A86ABE">
        <w:rPr>
          <w:rFonts w:ascii="FrankRuehl" w:hAnsi="FrankRuehl" w:cs="FrankRuehl" w:hint="cs"/>
          <w:sz w:val="28"/>
          <w:szCs w:val="28"/>
          <w:rtl/>
        </w:rPr>
        <w:t xml:space="preserve"> זה בכדי להעיד על חולשת הטענות.</w:t>
      </w:r>
    </w:p>
    <w:p w:rsidR="00593C96" w:rsidRPr="00D859D1" w:rsidRDefault="00593C96" w:rsidP="00593C96">
      <w:pPr>
        <w:spacing w:after="160" w:line="360" w:lineRule="auto"/>
        <w:ind w:left="425" w:hanging="425"/>
        <w:contextualSpacing/>
        <w:jc w:val="both"/>
        <w:rPr>
          <w:rFonts w:ascii="FrankRuehl" w:hAnsi="FrankRuehl" w:cs="FrankRuehl"/>
          <w:sz w:val="28"/>
          <w:szCs w:val="28"/>
          <w:rtl/>
        </w:rPr>
      </w:pPr>
    </w:p>
    <w:p w:rsidR="00A86ABE" w:rsidRDefault="00593C96" w:rsidP="00A86ABE">
      <w:pPr>
        <w:spacing w:after="160" w:line="360" w:lineRule="auto"/>
        <w:ind w:left="425" w:hanging="425"/>
        <w:contextualSpacing/>
        <w:jc w:val="both"/>
        <w:rPr>
          <w:rFonts w:ascii="FrankRuehl" w:hAnsi="FrankRuehl" w:cs="FrankRuehl"/>
          <w:sz w:val="28"/>
          <w:szCs w:val="28"/>
          <w:rtl/>
        </w:rPr>
      </w:pPr>
      <w:r w:rsidRPr="00D859D1">
        <w:rPr>
          <w:rFonts w:ascii="FrankRuehl" w:hAnsi="FrankRuehl" w:cs="FrankRuehl"/>
          <w:sz w:val="28"/>
          <w:szCs w:val="28"/>
          <w:rtl/>
        </w:rPr>
        <w:t>38.</w:t>
      </w:r>
      <w:r w:rsidRPr="00D859D1">
        <w:rPr>
          <w:rFonts w:ascii="FrankRuehl" w:hAnsi="FrankRuehl" w:cs="FrankRuehl"/>
          <w:sz w:val="28"/>
          <w:szCs w:val="28"/>
          <w:rtl/>
        </w:rPr>
        <w:tab/>
        <w:t>משהתובעת לא הוכיחה את צרכיה</w:t>
      </w:r>
      <w:r w:rsidR="00C67FF8">
        <w:rPr>
          <w:rFonts w:ascii="FrankRuehl" w:hAnsi="FrankRuehl" w:cs="FrankRuehl" w:hint="cs"/>
          <w:sz w:val="28"/>
          <w:szCs w:val="28"/>
          <w:rtl/>
        </w:rPr>
        <w:t xml:space="preserve"> בכלל או צרכיה החסרים, </w:t>
      </w:r>
      <w:r w:rsidRPr="00D859D1">
        <w:rPr>
          <w:rFonts w:ascii="FrankRuehl" w:hAnsi="FrankRuehl" w:cs="FrankRuehl"/>
          <w:sz w:val="28"/>
          <w:szCs w:val="28"/>
          <w:rtl/>
        </w:rPr>
        <w:t>והכנסתה לא פורטה, יש לדחות תביעתה למזונות.</w:t>
      </w:r>
      <w:r w:rsidR="002B3847">
        <w:rPr>
          <w:rFonts w:ascii="FrankRuehl" w:hAnsi="FrankRuehl" w:cs="FrankRuehl" w:hint="cs"/>
          <w:sz w:val="28"/>
          <w:szCs w:val="28"/>
          <w:rtl/>
        </w:rPr>
        <w:t xml:space="preserve"> ראו בהקשר זה תמ"ש (קריות) 13983/01 סעיף 20 לפסה"ד של השופט סילמן מיום 27.04.2009 </w:t>
      </w:r>
      <w:r w:rsidR="002B3847">
        <w:rPr>
          <w:rFonts w:ascii="FrankRuehl" w:hAnsi="FrankRuehl" w:cs="FrankRuehl"/>
          <w:sz w:val="28"/>
          <w:szCs w:val="28"/>
          <w:rtl/>
        </w:rPr>
        <w:t>–</w:t>
      </w:r>
      <w:r w:rsidR="002B3847">
        <w:rPr>
          <w:rFonts w:ascii="FrankRuehl" w:hAnsi="FrankRuehl" w:cs="FrankRuehl" w:hint="cs"/>
          <w:sz w:val="28"/>
          <w:szCs w:val="28"/>
          <w:rtl/>
        </w:rPr>
        <w:t xml:space="preserve"> בעניין בני העדה הנוצרית קתולית</w:t>
      </w:r>
      <w:r w:rsidR="007A2BAC">
        <w:rPr>
          <w:rFonts w:ascii="FrankRuehl" w:hAnsi="FrankRuehl" w:cs="FrankRuehl" w:hint="cs"/>
          <w:sz w:val="28"/>
          <w:szCs w:val="28"/>
          <w:rtl/>
        </w:rPr>
        <w:t>.</w:t>
      </w:r>
    </w:p>
    <w:p w:rsidR="00A86ABE" w:rsidRDefault="00A86ABE" w:rsidP="00A86ABE">
      <w:pPr>
        <w:spacing w:after="160" w:line="360" w:lineRule="auto"/>
        <w:ind w:left="425" w:hanging="425"/>
        <w:contextualSpacing/>
        <w:jc w:val="both"/>
        <w:rPr>
          <w:rFonts w:ascii="FrankRuehl" w:hAnsi="FrankRuehl" w:cs="FrankRuehl"/>
          <w:sz w:val="28"/>
          <w:szCs w:val="28"/>
          <w:rtl/>
        </w:rPr>
      </w:pPr>
    </w:p>
    <w:p w:rsidR="00A86ABE" w:rsidRPr="00D859D1" w:rsidRDefault="00A86ABE" w:rsidP="00A86ABE">
      <w:pPr>
        <w:spacing w:after="160" w:line="360" w:lineRule="auto"/>
        <w:ind w:left="425" w:hanging="425"/>
        <w:contextualSpacing/>
        <w:jc w:val="both"/>
        <w:rPr>
          <w:rFonts w:ascii="FrankRuehl" w:hAnsi="FrankRuehl" w:cs="FrankRuehl"/>
          <w:sz w:val="28"/>
          <w:szCs w:val="28"/>
          <w:rtl/>
        </w:rPr>
      </w:pPr>
    </w:p>
    <w:p w:rsidR="00593C96" w:rsidRPr="00D859D1" w:rsidRDefault="00593C96" w:rsidP="00593C96">
      <w:pPr>
        <w:spacing w:after="160" w:line="360" w:lineRule="auto"/>
        <w:ind w:left="425" w:hanging="425"/>
        <w:contextualSpacing/>
        <w:jc w:val="both"/>
        <w:rPr>
          <w:rFonts w:ascii="FrankRuehl" w:hAnsi="FrankRuehl" w:cs="FrankRuehl"/>
          <w:sz w:val="28"/>
          <w:szCs w:val="28"/>
          <w:rtl/>
        </w:rPr>
      </w:pPr>
      <w:r w:rsidRPr="00D859D1">
        <w:rPr>
          <w:rFonts w:ascii="FrankRuehl" w:hAnsi="FrankRuehl" w:cs="FrankRuehl"/>
          <w:sz w:val="28"/>
          <w:szCs w:val="28"/>
          <w:rtl/>
        </w:rPr>
        <w:t xml:space="preserve"> </w:t>
      </w:r>
    </w:p>
    <w:p w:rsidR="00D859D1" w:rsidRDefault="00593C96" w:rsidP="00D63091">
      <w:pPr>
        <w:spacing w:after="160" w:line="360" w:lineRule="auto"/>
        <w:ind w:left="425" w:hanging="425"/>
        <w:contextualSpacing/>
        <w:jc w:val="both"/>
        <w:rPr>
          <w:rFonts w:ascii="FrankRuehl" w:eastAsia="Calibri" w:hAnsi="FrankRuehl" w:cs="FrankRuehl"/>
          <w:sz w:val="28"/>
          <w:szCs w:val="28"/>
          <w:rtl/>
        </w:rPr>
      </w:pPr>
      <w:r w:rsidRPr="00D859D1">
        <w:rPr>
          <w:rFonts w:ascii="FrankRuehl" w:hAnsi="FrankRuehl" w:cs="FrankRuehl"/>
          <w:sz w:val="28"/>
          <w:szCs w:val="28"/>
          <w:rtl/>
        </w:rPr>
        <w:t>39.</w:t>
      </w:r>
      <w:r w:rsidRPr="00D859D1">
        <w:rPr>
          <w:rFonts w:ascii="FrankRuehl" w:hAnsi="FrankRuehl" w:cs="FrankRuehl"/>
          <w:sz w:val="28"/>
          <w:szCs w:val="28"/>
          <w:rtl/>
        </w:rPr>
        <w:tab/>
        <w:t xml:space="preserve">כך או כך, בנסיבות המקרה כאן מצאתי כי יש לדחות תביעת התובעת למזונותיה </w:t>
      </w:r>
      <w:r w:rsidR="00D63091">
        <w:rPr>
          <w:rFonts w:ascii="FrankRuehl" w:hAnsi="FrankRuehl" w:cs="FrankRuehl" w:hint="cs"/>
          <w:sz w:val="28"/>
          <w:szCs w:val="28"/>
          <w:rtl/>
        </w:rPr>
        <w:t xml:space="preserve">גם </w:t>
      </w:r>
      <w:r w:rsidRPr="00D859D1">
        <w:rPr>
          <w:rFonts w:ascii="FrankRuehl" w:hAnsi="FrankRuehl" w:cs="FrankRuehl"/>
          <w:sz w:val="28"/>
          <w:szCs w:val="28"/>
          <w:rtl/>
        </w:rPr>
        <w:t>בגין עזיבתה</w:t>
      </w:r>
      <w:r w:rsidR="00A86ABE">
        <w:rPr>
          <w:rFonts w:ascii="FrankRuehl" w:hAnsi="FrankRuehl" w:cs="FrankRuehl" w:hint="cs"/>
          <w:sz w:val="28"/>
          <w:szCs w:val="28"/>
          <w:rtl/>
        </w:rPr>
        <w:t>ּ</w:t>
      </w:r>
      <w:r w:rsidRPr="00D859D1">
        <w:rPr>
          <w:rFonts w:ascii="FrankRuehl" w:hAnsi="FrankRuehl" w:cs="FrankRuehl"/>
          <w:sz w:val="28"/>
          <w:szCs w:val="28"/>
          <w:rtl/>
        </w:rPr>
        <w:t xml:space="preserve"> את בית המגורים המשותף. </w:t>
      </w:r>
      <w:r w:rsidR="00D859D1" w:rsidRPr="00D859D1">
        <w:rPr>
          <w:rFonts w:ascii="FrankRuehl" w:eastAsia="Calibri" w:hAnsi="FrankRuehl" w:cs="FrankRuehl"/>
          <w:sz w:val="28"/>
          <w:szCs w:val="28"/>
          <w:rtl/>
        </w:rPr>
        <w:t>על פי חוק המע</w:t>
      </w:r>
      <w:r w:rsidR="007A2BAC">
        <w:rPr>
          <w:rFonts w:ascii="FrankRuehl" w:eastAsia="Calibri" w:hAnsi="FrankRuehl" w:cs="FrankRuehl" w:hint="cs"/>
          <w:sz w:val="28"/>
          <w:szCs w:val="28"/>
          <w:rtl/>
        </w:rPr>
        <w:t>מ</w:t>
      </w:r>
      <w:r w:rsidR="00A86ABE">
        <w:rPr>
          <w:rFonts w:ascii="FrankRuehl" w:eastAsia="Calibri" w:hAnsi="FrankRuehl" w:cs="FrankRuehl"/>
          <w:sz w:val="28"/>
          <w:szCs w:val="28"/>
          <w:rtl/>
        </w:rPr>
        <w:t>ד האישי של העדה הדרוזית</w:t>
      </w:r>
      <w:r w:rsidR="00D859D1" w:rsidRPr="00D859D1">
        <w:rPr>
          <w:rFonts w:ascii="FrankRuehl" w:eastAsia="Calibri" w:hAnsi="FrankRuehl" w:cs="FrankRuehl"/>
          <w:sz w:val="28"/>
          <w:szCs w:val="28"/>
          <w:rtl/>
        </w:rPr>
        <w:t xml:space="preserve"> סעיף </w:t>
      </w:r>
      <w:r w:rsidR="007A2BAC">
        <w:rPr>
          <w:rFonts w:ascii="FrankRuehl" w:eastAsia="Calibri" w:hAnsi="FrankRuehl" w:cs="FrankRuehl" w:hint="cs"/>
          <w:sz w:val="28"/>
          <w:szCs w:val="28"/>
          <w:rtl/>
        </w:rPr>
        <w:t>36</w:t>
      </w:r>
      <w:r w:rsidR="00A86ABE">
        <w:rPr>
          <w:rFonts w:ascii="FrankRuehl" w:eastAsia="Calibri" w:hAnsi="FrankRuehl" w:cs="FrankRuehl" w:hint="cs"/>
          <w:sz w:val="28"/>
          <w:szCs w:val="28"/>
          <w:rtl/>
        </w:rPr>
        <w:t>,</w:t>
      </w:r>
      <w:r w:rsidR="007A2BAC">
        <w:rPr>
          <w:rFonts w:ascii="FrankRuehl" w:eastAsia="Calibri" w:hAnsi="FrankRuehl" w:cs="FrankRuehl" w:hint="cs"/>
          <w:sz w:val="28"/>
          <w:szCs w:val="28"/>
          <w:rtl/>
        </w:rPr>
        <w:t xml:space="preserve"> </w:t>
      </w:r>
      <w:r w:rsidR="00D859D1" w:rsidRPr="00D859D1">
        <w:rPr>
          <w:rFonts w:ascii="FrankRuehl" w:eastAsia="Calibri" w:hAnsi="FrankRuehl" w:cs="FrankRuehl"/>
          <w:sz w:val="28"/>
          <w:szCs w:val="28"/>
          <w:rtl/>
        </w:rPr>
        <w:t xml:space="preserve"> חובת סיפוק מזונות </w:t>
      </w:r>
      <w:r w:rsidR="00D63091">
        <w:rPr>
          <w:rFonts w:ascii="FrankRuehl" w:eastAsia="Calibri" w:hAnsi="FrankRuehl" w:cs="FrankRuehl" w:hint="cs"/>
          <w:sz w:val="28"/>
          <w:szCs w:val="28"/>
          <w:rtl/>
        </w:rPr>
        <w:t>ל</w:t>
      </w:r>
      <w:r w:rsidR="00D859D1" w:rsidRPr="00D859D1">
        <w:rPr>
          <w:rFonts w:ascii="FrankRuehl" w:eastAsia="Calibri" w:hAnsi="FrankRuehl" w:cs="FrankRuehl"/>
          <w:sz w:val="28"/>
          <w:szCs w:val="28"/>
          <w:rtl/>
        </w:rPr>
        <w:t>אישה ש</w:t>
      </w:r>
      <w:r w:rsidR="00D63091">
        <w:rPr>
          <w:rFonts w:ascii="FrankRuehl" w:eastAsia="Calibri" w:hAnsi="FrankRuehl" w:cs="FrankRuehl" w:hint="cs"/>
          <w:sz w:val="28"/>
          <w:szCs w:val="28"/>
          <w:rtl/>
        </w:rPr>
        <w:t>על</w:t>
      </w:r>
      <w:r w:rsidR="00D859D1" w:rsidRPr="00D859D1">
        <w:rPr>
          <w:rFonts w:ascii="FrankRuehl" w:eastAsia="Calibri" w:hAnsi="FrankRuehl" w:cs="FrankRuehl"/>
          <w:sz w:val="28"/>
          <w:szCs w:val="28"/>
          <w:rtl/>
        </w:rPr>
        <w:t xml:space="preserve"> הבעל פוקעת אם נטשה האישה את בית המגורים</w:t>
      </w:r>
      <w:r w:rsidR="00A86ABE">
        <w:rPr>
          <w:rFonts w:ascii="FrankRuehl" w:eastAsia="Calibri" w:hAnsi="FrankRuehl" w:cs="FrankRuehl"/>
          <w:sz w:val="28"/>
          <w:szCs w:val="28"/>
          <w:rtl/>
        </w:rPr>
        <w:t xml:space="preserve"> המשותף ללא "סיבה חוקית". ראו ת</w:t>
      </w:r>
      <w:r w:rsidR="00D859D1" w:rsidRPr="00D859D1">
        <w:rPr>
          <w:rFonts w:ascii="FrankRuehl" w:eastAsia="Calibri" w:hAnsi="FrankRuehl" w:cs="FrankRuehl"/>
          <w:sz w:val="28"/>
          <w:szCs w:val="28"/>
          <w:rtl/>
        </w:rPr>
        <w:t>מ</w:t>
      </w:r>
      <w:r w:rsidR="00A86ABE">
        <w:rPr>
          <w:rFonts w:ascii="FrankRuehl" w:eastAsia="Calibri" w:hAnsi="FrankRuehl" w:cs="FrankRuehl" w:hint="cs"/>
          <w:sz w:val="28"/>
          <w:szCs w:val="28"/>
          <w:rtl/>
        </w:rPr>
        <w:t>"</w:t>
      </w:r>
      <w:r w:rsidR="00A86ABE">
        <w:rPr>
          <w:rFonts w:ascii="FrankRuehl" w:eastAsia="Calibri" w:hAnsi="FrankRuehl" w:cs="FrankRuehl"/>
          <w:sz w:val="28"/>
          <w:szCs w:val="28"/>
          <w:rtl/>
        </w:rPr>
        <w:t>ז</w:t>
      </w:r>
      <w:r w:rsidR="00D859D1" w:rsidRPr="00D859D1">
        <w:rPr>
          <w:rFonts w:ascii="FrankRuehl" w:eastAsia="Calibri" w:hAnsi="FrankRuehl" w:cs="FrankRuehl"/>
          <w:sz w:val="28"/>
          <w:szCs w:val="28"/>
          <w:rtl/>
        </w:rPr>
        <w:t xml:space="preserve"> (חי) 54/69 </w:t>
      </w:r>
      <w:r w:rsidR="00D859D1" w:rsidRPr="00D859D1">
        <w:rPr>
          <w:rFonts w:ascii="FrankRuehl" w:hAnsi="FrankRuehl" w:cs="FrankRuehl"/>
          <w:b/>
          <w:bCs/>
          <w:sz w:val="28"/>
          <w:szCs w:val="28"/>
          <w:rtl/>
        </w:rPr>
        <w:t>ג'מילה סאלח שוואח נ' נואף מוחמד חלבי</w:t>
      </w:r>
      <w:r w:rsidR="00D859D1" w:rsidRPr="00D859D1">
        <w:rPr>
          <w:rFonts w:ascii="FrankRuehl" w:eastAsia="Calibri" w:hAnsi="FrankRuehl" w:cs="FrankRuehl"/>
          <w:sz w:val="28"/>
          <w:szCs w:val="28"/>
          <w:rtl/>
        </w:rPr>
        <w:t xml:space="preserve"> לעיל.</w:t>
      </w:r>
    </w:p>
    <w:p w:rsidR="00A86ABE" w:rsidRDefault="00A86ABE" w:rsidP="00D63091">
      <w:pPr>
        <w:spacing w:after="160" w:line="360" w:lineRule="auto"/>
        <w:ind w:left="425" w:hanging="425"/>
        <w:contextualSpacing/>
        <w:jc w:val="both"/>
        <w:rPr>
          <w:rFonts w:ascii="FrankRuehl" w:hAnsi="FrankRuehl" w:cs="FrankRuehl"/>
          <w:color w:val="000000"/>
          <w:sz w:val="28"/>
          <w:szCs w:val="28"/>
          <w:rtl/>
        </w:rPr>
      </w:pPr>
    </w:p>
    <w:p w:rsidR="00153271" w:rsidRDefault="00D859D1" w:rsidP="00A86ABE">
      <w:pPr>
        <w:spacing w:after="160" w:line="360" w:lineRule="auto"/>
        <w:ind w:left="425" w:hanging="425"/>
        <w:contextualSpacing/>
        <w:jc w:val="both"/>
        <w:rPr>
          <w:rFonts w:ascii="FrankRuehl" w:hAnsi="FrankRuehl" w:cs="FrankRuehl"/>
          <w:color w:val="000000"/>
          <w:sz w:val="28"/>
          <w:szCs w:val="28"/>
          <w:rtl/>
        </w:rPr>
      </w:pPr>
      <w:r w:rsidRPr="00D859D1">
        <w:rPr>
          <w:rFonts w:ascii="FrankRuehl" w:hAnsi="FrankRuehl" w:cs="FrankRuehl"/>
          <w:color w:val="000000"/>
          <w:sz w:val="28"/>
          <w:szCs w:val="28"/>
          <w:rtl/>
        </w:rPr>
        <w:t>40.</w:t>
      </w:r>
      <w:r w:rsidRPr="00D859D1">
        <w:rPr>
          <w:rFonts w:ascii="FrankRuehl" w:hAnsi="FrankRuehl" w:cs="FrankRuehl"/>
          <w:color w:val="000000"/>
          <w:sz w:val="28"/>
          <w:szCs w:val="28"/>
          <w:rtl/>
        </w:rPr>
        <w:tab/>
      </w:r>
      <w:r>
        <w:rPr>
          <w:rFonts w:ascii="FrankRuehl" w:hAnsi="FrankRuehl" w:cs="FrankRuehl"/>
          <w:color w:val="000000"/>
          <w:sz w:val="28"/>
          <w:szCs w:val="28"/>
          <w:rtl/>
        </w:rPr>
        <w:t>בין הצדדים מחלוקת</w:t>
      </w:r>
      <w:r w:rsidR="00632B79">
        <w:rPr>
          <w:rFonts w:ascii="FrankRuehl" w:hAnsi="FrankRuehl" w:cs="FrankRuehl" w:hint="cs"/>
          <w:color w:val="000000"/>
          <w:sz w:val="28"/>
          <w:szCs w:val="28"/>
          <w:rtl/>
        </w:rPr>
        <w:t xml:space="preserve">; </w:t>
      </w:r>
      <w:r>
        <w:rPr>
          <w:rFonts w:ascii="FrankRuehl" w:hAnsi="FrankRuehl" w:cs="FrankRuehl" w:hint="cs"/>
          <w:color w:val="000000"/>
          <w:sz w:val="28"/>
          <w:szCs w:val="28"/>
          <w:rtl/>
        </w:rPr>
        <w:t>התובעת טוענת כי בחודש ינואר 2018 החל הנתבע לסבול מהזיות ודימיונות  שהובילו להתקפות זעם פתאומיות ב</w:t>
      </w:r>
      <w:r w:rsidR="00222CF2">
        <w:rPr>
          <w:rFonts w:ascii="FrankRuehl" w:hAnsi="FrankRuehl" w:cs="FrankRuehl" w:hint="cs"/>
          <w:color w:val="000000"/>
          <w:sz w:val="28"/>
          <w:szCs w:val="28"/>
          <w:rtl/>
        </w:rPr>
        <w:t xml:space="preserve">עטין השליך עליה ועל הקטינה חפצים ונהג כלפיהן האלימות. </w:t>
      </w:r>
      <w:r w:rsidR="006519AB">
        <w:rPr>
          <w:rFonts w:ascii="FrankRuehl" w:hAnsi="FrankRuehl" w:cs="FrankRuehl" w:hint="cs"/>
          <w:color w:val="000000"/>
          <w:sz w:val="28"/>
          <w:szCs w:val="28"/>
          <w:rtl/>
        </w:rPr>
        <w:t xml:space="preserve">התובעת טענה </w:t>
      </w:r>
      <w:r w:rsidR="00222CF2">
        <w:rPr>
          <w:rFonts w:ascii="FrankRuehl" w:hAnsi="FrankRuehl" w:cs="FrankRuehl" w:hint="cs"/>
          <w:color w:val="000000"/>
          <w:sz w:val="28"/>
          <w:szCs w:val="28"/>
          <w:rtl/>
        </w:rPr>
        <w:t xml:space="preserve">כי ביום 27.02.2018 ניסה הנתבע להתאבד ולמחרת היום ביום 28.2.2018 עת הנתבע היה מאושפז בעקבות ניסיון אובדני זה, עזבה </w:t>
      </w:r>
      <w:r w:rsidR="00A86ABE">
        <w:rPr>
          <w:rFonts w:ascii="FrankRuehl" w:hAnsi="FrankRuehl" w:cs="FrankRuehl" w:hint="cs"/>
          <w:color w:val="000000"/>
          <w:sz w:val="28"/>
          <w:szCs w:val="28"/>
          <w:rtl/>
        </w:rPr>
        <w:t xml:space="preserve">התובעת </w:t>
      </w:r>
      <w:r w:rsidR="00222CF2">
        <w:rPr>
          <w:rFonts w:ascii="FrankRuehl" w:hAnsi="FrankRuehl" w:cs="FrankRuehl" w:hint="cs"/>
          <w:color w:val="000000"/>
          <w:sz w:val="28"/>
          <w:szCs w:val="28"/>
          <w:rtl/>
        </w:rPr>
        <w:t xml:space="preserve">את הבית יחד עם הקטינה. התובעת לא הוכיחה כי עזבה את הבית בשל אלימות </w:t>
      </w:r>
      <w:r w:rsidR="00153271">
        <w:rPr>
          <w:rFonts w:ascii="FrankRuehl" w:hAnsi="FrankRuehl" w:cs="FrankRuehl" w:hint="cs"/>
          <w:color w:val="000000"/>
          <w:sz w:val="28"/>
          <w:szCs w:val="28"/>
          <w:rtl/>
        </w:rPr>
        <w:t>שננקטה כנגדה.</w:t>
      </w:r>
    </w:p>
    <w:p w:rsidR="00153271" w:rsidRDefault="00153271" w:rsidP="00D859D1">
      <w:pPr>
        <w:spacing w:after="160" w:line="360" w:lineRule="auto"/>
        <w:ind w:left="425" w:hanging="425"/>
        <w:contextualSpacing/>
        <w:jc w:val="both"/>
        <w:rPr>
          <w:rFonts w:ascii="FrankRuehl" w:hAnsi="FrankRuehl" w:cs="FrankRuehl"/>
          <w:color w:val="000000"/>
          <w:sz w:val="28"/>
          <w:szCs w:val="28"/>
          <w:rtl/>
        </w:rPr>
      </w:pPr>
    </w:p>
    <w:p w:rsidR="00627C7A" w:rsidRDefault="00153271" w:rsidP="006519AB">
      <w:pPr>
        <w:spacing w:after="160" w:line="360" w:lineRule="auto"/>
        <w:ind w:left="425"/>
        <w:contextualSpacing/>
        <w:jc w:val="both"/>
        <w:rPr>
          <w:rFonts w:ascii="FrankRuehl" w:hAnsi="FrankRuehl" w:cs="FrankRuehl"/>
          <w:color w:val="000000"/>
          <w:sz w:val="28"/>
          <w:szCs w:val="28"/>
          <w:rtl/>
        </w:rPr>
      </w:pPr>
      <w:r>
        <w:rPr>
          <w:rFonts w:ascii="FrankRuehl" w:hAnsi="FrankRuehl" w:cs="FrankRuehl" w:hint="cs"/>
          <w:color w:val="000000"/>
          <w:sz w:val="28"/>
          <w:szCs w:val="28"/>
          <w:rtl/>
        </w:rPr>
        <w:t xml:space="preserve">בסיכום </w:t>
      </w:r>
      <w:r w:rsidR="006519AB">
        <w:rPr>
          <w:rFonts w:ascii="FrankRuehl" w:hAnsi="FrankRuehl" w:cs="FrankRuehl" w:hint="cs"/>
          <w:color w:val="000000"/>
          <w:sz w:val="28"/>
          <w:szCs w:val="28"/>
          <w:rtl/>
        </w:rPr>
        <w:t xml:space="preserve">ביקור רפואי מיום </w:t>
      </w:r>
      <w:r w:rsidR="00A86ABE">
        <w:rPr>
          <w:rFonts w:ascii="FrankRuehl" w:hAnsi="FrankRuehl" w:cs="FrankRuehl" w:hint="cs"/>
          <w:color w:val="000000"/>
          <w:sz w:val="28"/>
          <w:szCs w:val="28"/>
          <w:rtl/>
        </w:rPr>
        <w:t>0</w:t>
      </w:r>
      <w:r>
        <w:rPr>
          <w:rFonts w:ascii="FrankRuehl" w:hAnsi="FrankRuehl" w:cs="FrankRuehl" w:hint="cs"/>
          <w:color w:val="000000"/>
          <w:sz w:val="28"/>
          <w:szCs w:val="28"/>
          <w:rtl/>
        </w:rPr>
        <w:t>4.01.2018 לא מוזכרות טענות התובעת</w:t>
      </w:r>
      <w:r w:rsidR="00932540">
        <w:rPr>
          <w:rFonts w:ascii="FrankRuehl" w:hAnsi="FrankRuehl" w:cs="FrankRuehl" w:hint="cs"/>
          <w:color w:val="000000"/>
          <w:sz w:val="28"/>
          <w:szCs w:val="28"/>
          <w:rtl/>
        </w:rPr>
        <w:t>. להיפך</w:t>
      </w:r>
      <w:r w:rsidR="00A86ABE">
        <w:rPr>
          <w:rFonts w:ascii="FrankRuehl" w:hAnsi="FrankRuehl" w:cs="FrankRuehl" w:hint="cs"/>
          <w:color w:val="000000"/>
          <w:sz w:val="28"/>
          <w:szCs w:val="28"/>
          <w:rtl/>
        </w:rPr>
        <w:t>,</w:t>
      </w:r>
      <w:r w:rsidR="00932540">
        <w:rPr>
          <w:rFonts w:ascii="FrankRuehl" w:hAnsi="FrankRuehl" w:cs="FrankRuehl" w:hint="cs"/>
          <w:color w:val="000000"/>
          <w:sz w:val="28"/>
          <w:szCs w:val="28"/>
          <w:rtl/>
        </w:rPr>
        <w:t xml:space="preserve"> נכתב שם בסיכום רפ"ע כי התובעת מסרה כי הנתבע </w:t>
      </w:r>
      <w:r w:rsidR="00932540" w:rsidRPr="00932540">
        <w:rPr>
          <w:rFonts w:ascii="Miriam" w:hAnsi="Miriam" w:cs="Miriam"/>
          <w:color w:val="000000"/>
          <w:rtl/>
        </w:rPr>
        <w:t>"עירני וענייני, הקשיים השפתיים דומיננטים יותר מהקוגניטיבים, אך הא מצליח להעביר מסר, בעיקר בערבית ובג'סטות"</w:t>
      </w:r>
      <w:r w:rsidR="00932540">
        <w:rPr>
          <w:rFonts w:ascii="FrankRuehl" w:hAnsi="FrankRuehl" w:cs="FrankRuehl" w:hint="cs"/>
          <w:color w:val="000000"/>
          <w:sz w:val="28"/>
          <w:szCs w:val="28"/>
          <w:rtl/>
        </w:rPr>
        <w:t xml:space="preserve">. </w:t>
      </w:r>
      <w:r w:rsidR="00EA7545">
        <w:rPr>
          <w:rFonts w:ascii="FrankRuehl" w:hAnsi="FrankRuehl" w:cs="FrankRuehl" w:hint="cs"/>
          <w:color w:val="000000"/>
          <w:sz w:val="28"/>
          <w:szCs w:val="28"/>
          <w:rtl/>
        </w:rPr>
        <w:t xml:space="preserve">בסיכום תקשורת נכתב בין הצדדים </w:t>
      </w:r>
      <w:r w:rsidR="00EA7545" w:rsidRPr="00EA7545">
        <w:rPr>
          <w:rFonts w:ascii="Miriam" w:hAnsi="Miriam" w:cs="Miriam"/>
          <w:color w:val="000000"/>
          <w:rtl/>
        </w:rPr>
        <w:t>"מערכת יחסים זוגית קרובה ותומכת ביותר...מתואר כאדם אדיב, עומד על שלו, אהוב על כולם בעיר..."</w:t>
      </w:r>
      <w:r w:rsidR="00627C7A">
        <w:rPr>
          <w:rFonts w:ascii="FrankRuehl" w:hAnsi="FrankRuehl" w:cs="FrankRuehl" w:hint="cs"/>
          <w:color w:val="000000"/>
          <w:rtl/>
        </w:rPr>
        <w:t>.</w:t>
      </w:r>
      <w:r w:rsidR="006519AB">
        <w:rPr>
          <w:rFonts w:ascii="FrankRuehl" w:hAnsi="FrankRuehl" w:cs="FrankRuehl" w:hint="cs"/>
          <w:color w:val="000000"/>
          <w:sz w:val="28"/>
          <w:szCs w:val="28"/>
          <w:rtl/>
        </w:rPr>
        <w:t xml:space="preserve">  </w:t>
      </w:r>
      <w:r w:rsidR="00627C7A" w:rsidRPr="00627C7A">
        <w:rPr>
          <w:rFonts w:ascii="FrankRuehl" w:hAnsi="FrankRuehl" w:cs="FrankRuehl" w:hint="cs"/>
          <w:color w:val="000000"/>
          <w:sz w:val="28"/>
          <w:szCs w:val="28"/>
          <w:rtl/>
        </w:rPr>
        <w:t xml:space="preserve">גם </w:t>
      </w:r>
      <w:r w:rsidR="00627C7A">
        <w:rPr>
          <w:rFonts w:ascii="FrankRuehl" w:hAnsi="FrankRuehl" w:cs="FrankRuehl" w:hint="cs"/>
          <w:color w:val="000000"/>
          <w:sz w:val="28"/>
          <w:szCs w:val="28"/>
          <w:rtl/>
        </w:rPr>
        <w:t xml:space="preserve">בתסקירים שצורפו, מהליך א"פ שהתנהל, </w:t>
      </w:r>
      <w:r w:rsidR="006519AB">
        <w:rPr>
          <w:rFonts w:ascii="FrankRuehl" w:hAnsi="FrankRuehl" w:cs="FrankRuehl" w:hint="cs"/>
          <w:color w:val="000000"/>
          <w:sz w:val="28"/>
          <w:szCs w:val="28"/>
          <w:rtl/>
        </w:rPr>
        <w:t xml:space="preserve">לא מוזכרות טענות כדומת טענות התובעת. </w:t>
      </w:r>
      <w:r w:rsidR="00627C7A">
        <w:rPr>
          <w:rFonts w:ascii="FrankRuehl" w:hAnsi="FrankRuehl" w:cs="FrankRuehl" w:hint="cs"/>
          <w:color w:val="000000"/>
          <w:sz w:val="28"/>
          <w:szCs w:val="28"/>
          <w:rtl/>
        </w:rPr>
        <w:t>אמנם נטען כי האירועים החלו בינואר 2018</w:t>
      </w:r>
      <w:r w:rsidR="006519AB">
        <w:rPr>
          <w:rFonts w:ascii="FrankRuehl" w:hAnsi="FrankRuehl" w:cs="FrankRuehl" w:hint="cs"/>
          <w:color w:val="000000"/>
          <w:sz w:val="28"/>
          <w:szCs w:val="28"/>
          <w:rtl/>
        </w:rPr>
        <w:t xml:space="preserve"> במועד מאוחר </w:t>
      </w:r>
      <w:r w:rsidR="00627C7A">
        <w:rPr>
          <w:rFonts w:ascii="FrankRuehl" w:hAnsi="FrankRuehl" w:cs="FrankRuehl" w:hint="cs"/>
          <w:color w:val="000000"/>
          <w:sz w:val="28"/>
          <w:szCs w:val="28"/>
          <w:rtl/>
        </w:rPr>
        <w:t xml:space="preserve">לתסקירים, אך יש להניח כי "רמז" או ניצוץ" של טענות מעין אלו היה נכלל בתסקירים או במסמכים הרפואים הרבים שהוגשו. </w:t>
      </w:r>
      <w:r w:rsidR="006519AB">
        <w:rPr>
          <w:rFonts w:ascii="FrankRuehl" w:hAnsi="FrankRuehl" w:cs="FrankRuehl" w:hint="cs"/>
          <w:color w:val="000000"/>
          <w:sz w:val="28"/>
          <w:szCs w:val="28"/>
          <w:rtl/>
        </w:rPr>
        <w:t xml:space="preserve">לאור כך, </w:t>
      </w:r>
      <w:r w:rsidR="00627C7A">
        <w:rPr>
          <w:rFonts w:ascii="FrankRuehl" w:hAnsi="FrankRuehl" w:cs="FrankRuehl" w:hint="cs"/>
          <w:color w:val="000000"/>
          <w:sz w:val="28"/>
          <w:szCs w:val="28"/>
          <w:rtl/>
        </w:rPr>
        <w:t>אין די ב</w:t>
      </w:r>
      <w:r w:rsidR="006519AB">
        <w:rPr>
          <w:rFonts w:ascii="FrankRuehl" w:hAnsi="FrankRuehl" w:cs="FrankRuehl" w:hint="cs"/>
          <w:color w:val="000000"/>
          <w:sz w:val="28"/>
          <w:szCs w:val="28"/>
          <w:rtl/>
        </w:rPr>
        <w:t xml:space="preserve">טענת התובעת לבדה להוכחת הנטען. </w:t>
      </w:r>
      <w:r w:rsidR="00627C7A">
        <w:rPr>
          <w:rFonts w:ascii="FrankRuehl" w:hAnsi="FrankRuehl" w:cs="FrankRuehl" w:hint="cs"/>
          <w:color w:val="000000"/>
          <w:sz w:val="28"/>
          <w:szCs w:val="28"/>
          <w:rtl/>
        </w:rPr>
        <w:t>ראו לעניין זה סעיף 5</w:t>
      </w:r>
      <w:r w:rsidR="00DB36A3">
        <w:rPr>
          <w:rFonts w:ascii="FrankRuehl" w:hAnsi="FrankRuehl" w:cs="FrankRuehl" w:hint="cs"/>
          <w:color w:val="000000"/>
          <w:sz w:val="28"/>
          <w:szCs w:val="28"/>
          <w:rtl/>
        </w:rPr>
        <w:t>4</w:t>
      </w:r>
      <w:r w:rsidR="00627C7A">
        <w:rPr>
          <w:rFonts w:ascii="FrankRuehl" w:hAnsi="FrankRuehl" w:cs="FrankRuehl" w:hint="cs"/>
          <w:color w:val="000000"/>
          <w:sz w:val="28"/>
          <w:szCs w:val="28"/>
          <w:rtl/>
        </w:rPr>
        <w:t xml:space="preserve"> לפקודת הראיות </w:t>
      </w:r>
      <w:r w:rsidR="00DB36A3">
        <w:rPr>
          <w:rFonts w:ascii="FrankRuehl" w:hAnsi="FrankRuehl" w:cs="FrankRuehl" w:hint="cs"/>
          <w:color w:val="000000"/>
          <w:sz w:val="28"/>
          <w:szCs w:val="28"/>
          <w:rtl/>
        </w:rPr>
        <w:t xml:space="preserve">[נוסח חדש], התשל"א-1971. ראו תמ"ש (חי) 15310-09-20 </w:t>
      </w:r>
      <w:r w:rsidR="00DB36A3">
        <w:rPr>
          <w:rFonts w:ascii="FrankRuehl" w:hAnsi="FrankRuehl" w:cs="FrankRuehl" w:hint="cs"/>
          <w:b/>
          <w:bCs/>
          <w:color w:val="000000"/>
          <w:sz w:val="28"/>
          <w:szCs w:val="28"/>
          <w:rtl/>
        </w:rPr>
        <w:t xml:space="preserve">ק.מ. נ' ה.מ. </w:t>
      </w:r>
      <w:r w:rsidR="00DB36A3">
        <w:rPr>
          <w:rFonts w:ascii="FrankRuehl" w:hAnsi="FrankRuehl" w:cs="FrankRuehl" w:hint="cs"/>
          <w:color w:val="000000"/>
          <w:sz w:val="28"/>
          <w:szCs w:val="28"/>
          <w:rtl/>
        </w:rPr>
        <w:t>סעיף 19 לפסה"ד מיום 11.12.2022.</w:t>
      </w:r>
    </w:p>
    <w:p w:rsidR="007C1367" w:rsidRDefault="007C1367" w:rsidP="006519AB">
      <w:pPr>
        <w:spacing w:after="160" w:line="360" w:lineRule="auto"/>
        <w:ind w:left="425"/>
        <w:contextualSpacing/>
        <w:jc w:val="both"/>
        <w:rPr>
          <w:rFonts w:ascii="FrankRuehl" w:hAnsi="FrankRuehl" w:cs="FrankRuehl"/>
          <w:color w:val="000000"/>
          <w:sz w:val="28"/>
          <w:szCs w:val="28"/>
          <w:rtl/>
        </w:rPr>
      </w:pPr>
    </w:p>
    <w:p w:rsidR="00860F40" w:rsidRDefault="007C1367" w:rsidP="00A86ABE">
      <w:pPr>
        <w:spacing w:after="160" w:line="360" w:lineRule="auto"/>
        <w:ind w:left="425"/>
        <w:contextualSpacing/>
        <w:jc w:val="both"/>
        <w:rPr>
          <w:rFonts w:ascii="FrankRuehl" w:hAnsi="FrankRuehl" w:cs="FrankRuehl"/>
          <w:color w:val="000000"/>
          <w:sz w:val="28"/>
          <w:szCs w:val="28"/>
          <w:rtl/>
        </w:rPr>
      </w:pPr>
      <w:r>
        <w:rPr>
          <w:rFonts w:ascii="FrankRuehl" w:hAnsi="FrankRuehl" w:cs="FrankRuehl" w:hint="cs"/>
          <w:color w:val="000000"/>
          <w:sz w:val="28"/>
          <w:szCs w:val="28"/>
          <w:rtl/>
        </w:rPr>
        <w:t>לא זו אף זו אלא שבעדותה</w:t>
      </w:r>
      <w:r w:rsidR="00A86ABE">
        <w:rPr>
          <w:rFonts w:ascii="FrankRuehl" w:hAnsi="FrankRuehl" w:cs="FrankRuehl" w:hint="cs"/>
          <w:color w:val="000000"/>
          <w:sz w:val="28"/>
          <w:szCs w:val="28"/>
          <w:rtl/>
        </w:rPr>
        <w:t>ּ</w:t>
      </w:r>
      <w:r>
        <w:rPr>
          <w:rFonts w:ascii="FrankRuehl" w:hAnsi="FrankRuehl" w:cs="FrankRuehl" w:hint="cs"/>
          <w:color w:val="000000"/>
          <w:sz w:val="28"/>
          <w:szCs w:val="28"/>
          <w:rtl/>
        </w:rPr>
        <w:t xml:space="preserve"> טענה התובעת כי עזבה את הבי</w:t>
      </w:r>
      <w:r w:rsidR="00A86ABE">
        <w:rPr>
          <w:rFonts w:ascii="FrankRuehl" w:hAnsi="FrankRuehl" w:cs="FrankRuehl" w:hint="cs"/>
          <w:color w:val="000000"/>
          <w:sz w:val="28"/>
          <w:szCs w:val="28"/>
          <w:rtl/>
        </w:rPr>
        <w:t>ת</w:t>
      </w:r>
      <w:r>
        <w:rPr>
          <w:rFonts w:ascii="FrankRuehl" w:hAnsi="FrankRuehl" w:cs="FrankRuehl" w:hint="cs"/>
          <w:color w:val="000000"/>
          <w:sz w:val="28"/>
          <w:szCs w:val="28"/>
          <w:rtl/>
        </w:rPr>
        <w:t xml:space="preserve"> המשותף בגלל מחלוקת כלכלית בינה ובין אחות הנתבע. ראו עמ</w:t>
      </w:r>
      <w:r w:rsidR="00A86ABE">
        <w:rPr>
          <w:rFonts w:ascii="FrankRuehl" w:hAnsi="FrankRuehl" w:cs="FrankRuehl" w:hint="cs"/>
          <w:color w:val="000000"/>
          <w:sz w:val="28"/>
          <w:szCs w:val="28"/>
          <w:rtl/>
        </w:rPr>
        <w:t>וד 22 שורות 23-27 לעדותה. כאשר ע</w:t>
      </w:r>
      <w:r>
        <w:rPr>
          <w:rFonts w:ascii="FrankRuehl" w:hAnsi="FrankRuehl" w:cs="FrankRuehl" w:hint="cs"/>
          <w:color w:val="000000"/>
          <w:sz w:val="28"/>
          <w:szCs w:val="28"/>
          <w:rtl/>
        </w:rPr>
        <w:t>ומתה התובעת עם כך שעדותה סותרת את תצהירה</w:t>
      </w:r>
      <w:r w:rsidR="00A86ABE">
        <w:rPr>
          <w:rFonts w:ascii="FrankRuehl" w:hAnsi="FrankRuehl" w:cs="FrankRuehl" w:hint="cs"/>
          <w:color w:val="000000"/>
          <w:sz w:val="28"/>
          <w:szCs w:val="28"/>
          <w:rtl/>
        </w:rPr>
        <w:t>ּ,</w:t>
      </w:r>
      <w:r>
        <w:rPr>
          <w:rFonts w:ascii="FrankRuehl" w:hAnsi="FrankRuehl" w:cs="FrankRuehl" w:hint="cs"/>
          <w:color w:val="000000"/>
          <w:sz w:val="28"/>
          <w:szCs w:val="28"/>
          <w:rtl/>
        </w:rPr>
        <w:t xml:space="preserve"> שם טענה לאלימות ולאירועים שפורטו לעיל, תיקנה עדותה וטענה כי שני הדברים הביאו לעזיבתה</w:t>
      </w:r>
      <w:r w:rsidR="00A86ABE">
        <w:rPr>
          <w:rFonts w:ascii="FrankRuehl" w:hAnsi="FrankRuehl" w:cs="FrankRuehl" w:hint="cs"/>
          <w:color w:val="000000"/>
          <w:sz w:val="28"/>
          <w:szCs w:val="28"/>
          <w:rtl/>
        </w:rPr>
        <w:t>ּ. ראו עמוד 23 שורות 15-32.</w:t>
      </w:r>
    </w:p>
    <w:p w:rsidR="00860F40" w:rsidRDefault="00860F40" w:rsidP="006519AB">
      <w:pPr>
        <w:spacing w:after="160" w:line="360" w:lineRule="auto"/>
        <w:ind w:left="425"/>
        <w:contextualSpacing/>
        <w:jc w:val="both"/>
        <w:rPr>
          <w:rFonts w:ascii="FrankRuehl" w:hAnsi="FrankRuehl" w:cs="FrankRuehl"/>
          <w:color w:val="000000"/>
          <w:sz w:val="28"/>
          <w:szCs w:val="28"/>
          <w:rtl/>
        </w:rPr>
      </w:pPr>
    </w:p>
    <w:p w:rsidR="007C1367" w:rsidRDefault="007C1367" w:rsidP="006519AB">
      <w:pPr>
        <w:spacing w:after="160" w:line="360" w:lineRule="auto"/>
        <w:ind w:left="425"/>
        <w:contextualSpacing/>
        <w:jc w:val="both"/>
        <w:rPr>
          <w:rFonts w:ascii="FrankRuehl" w:hAnsi="FrankRuehl" w:cs="FrankRuehl"/>
          <w:color w:val="000000"/>
          <w:sz w:val="28"/>
          <w:szCs w:val="28"/>
          <w:rtl/>
        </w:rPr>
      </w:pPr>
      <w:r>
        <w:rPr>
          <w:rFonts w:ascii="FrankRuehl" w:hAnsi="FrankRuehl" w:cs="FrankRuehl" w:hint="cs"/>
          <w:color w:val="000000"/>
          <w:sz w:val="28"/>
          <w:szCs w:val="28"/>
          <w:rtl/>
        </w:rPr>
        <w:t xml:space="preserve">טענתה כי שיתפה בכך צד ג', </w:t>
      </w:r>
      <w:r w:rsidR="00AC49B7">
        <w:rPr>
          <w:rFonts w:ascii="FrankRuehl" w:hAnsi="FrankRuehl" w:cs="FrankRuehl" w:hint="cs"/>
          <w:color w:val="000000"/>
          <w:sz w:val="28"/>
          <w:szCs w:val="28"/>
          <w:rtl/>
        </w:rPr>
        <w:t xml:space="preserve">ד"ר סחר מנהל מחלקת השיקום, </w:t>
      </w:r>
      <w:r>
        <w:rPr>
          <w:rFonts w:ascii="FrankRuehl" w:hAnsi="FrankRuehl" w:cs="FrankRuehl" w:hint="cs"/>
          <w:color w:val="000000"/>
          <w:sz w:val="28"/>
          <w:szCs w:val="28"/>
          <w:rtl/>
        </w:rPr>
        <w:t>לא נתמכה בעדות אותו צד ג' שלא זומן על ידה לעדות וגם לא נתתי אמון בעדות</w:t>
      </w:r>
      <w:r w:rsidR="00A86ABE">
        <w:rPr>
          <w:rFonts w:ascii="FrankRuehl" w:hAnsi="FrankRuehl" w:cs="FrankRuehl" w:hint="cs"/>
          <w:color w:val="000000"/>
          <w:sz w:val="28"/>
          <w:szCs w:val="28"/>
          <w:rtl/>
        </w:rPr>
        <w:t>ה בדבר אירועי האלימות.</w:t>
      </w:r>
    </w:p>
    <w:p w:rsidR="00B401F4" w:rsidRDefault="00B401F4" w:rsidP="00B401F4">
      <w:pPr>
        <w:spacing w:after="160" w:line="360" w:lineRule="auto"/>
        <w:ind w:left="425" w:hanging="425"/>
        <w:contextualSpacing/>
        <w:jc w:val="both"/>
        <w:rPr>
          <w:rFonts w:ascii="FrankRuehl" w:hAnsi="FrankRuehl" w:cs="FrankRuehl"/>
          <w:color w:val="000000"/>
          <w:sz w:val="28"/>
          <w:szCs w:val="28"/>
          <w:rtl/>
        </w:rPr>
      </w:pPr>
    </w:p>
    <w:p w:rsidR="00E1717A" w:rsidRDefault="00B401F4" w:rsidP="00632B79">
      <w:pPr>
        <w:spacing w:after="160" w:line="360" w:lineRule="auto"/>
        <w:ind w:left="425" w:hanging="425"/>
        <w:contextualSpacing/>
        <w:jc w:val="both"/>
        <w:rPr>
          <w:rFonts w:ascii="FrankRuehl" w:hAnsi="FrankRuehl" w:cs="FrankRuehl"/>
          <w:color w:val="000000"/>
          <w:sz w:val="28"/>
          <w:szCs w:val="28"/>
          <w:rtl/>
        </w:rPr>
      </w:pPr>
      <w:r>
        <w:rPr>
          <w:rFonts w:ascii="FrankRuehl" w:hAnsi="FrankRuehl" w:cs="FrankRuehl" w:hint="cs"/>
          <w:color w:val="000000"/>
          <w:sz w:val="28"/>
          <w:szCs w:val="28"/>
          <w:rtl/>
        </w:rPr>
        <w:t>41.</w:t>
      </w:r>
      <w:r>
        <w:rPr>
          <w:rFonts w:ascii="FrankRuehl" w:hAnsi="FrankRuehl" w:cs="FrankRuehl" w:hint="cs"/>
          <w:color w:val="000000"/>
          <w:sz w:val="28"/>
          <w:szCs w:val="28"/>
          <w:rtl/>
        </w:rPr>
        <w:tab/>
      </w:r>
      <w:r w:rsidR="00E1717A" w:rsidRPr="00632B79">
        <w:rPr>
          <w:rFonts w:ascii="FrankRuehl" w:hAnsi="FrankRuehl" w:cs="FrankRuehl" w:hint="cs"/>
          <w:b/>
          <w:bCs/>
          <w:color w:val="000000"/>
          <w:sz w:val="28"/>
          <w:szCs w:val="28"/>
          <w:rtl/>
        </w:rPr>
        <w:t xml:space="preserve">על כן, אני דוחה תביעת התובעת למזונותיה </w:t>
      </w:r>
      <w:r w:rsidR="00E1717A" w:rsidRPr="00632B79">
        <w:rPr>
          <w:rFonts w:ascii="FrankRuehl" w:hAnsi="FrankRuehl" w:cs="FrankRuehl"/>
          <w:b/>
          <w:bCs/>
          <w:color w:val="000000"/>
          <w:sz w:val="28"/>
          <w:szCs w:val="28"/>
          <w:rtl/>
        </w:rPr>
        <w:t>–</w:t>
      </w:r>
      <w:r w:rsidR="00E1717A" w:rsidRPr="00632B79">
        <w:rPr>
          <w:rFonts w:ascii="FrankRuehl" w:hAnsi="FrankRuehl" w:cs="FrankRuehl" w:hint="cs"/>
          <w:b/>
          <w:bCs/>
          <w:color w:val="000000"/>
          <w:sz w:val="28"/>
          <w:szCs w:val="28"/>
          <w:rtl/>
        </w:rPr>
        <w:t xml:space="preserve"> </w:t>
      </w:r>
      <w:r w:rsidR="00632B79">
        <w:rPr>
          <w:rFonts w:ascii="FrankRuehl" w:hAnsi="FrankRuehl" w:cs="FrankRuehl" w:hint="cs"/>
          <w:b/>
          <w:bCs/>
          <w:color w:val="000000"/>
          <w:sz w:val="28"/>
          <w:szCs w:val="28"/>
          <w:rtl/>
        </w:rPr>
        <w:t xml:space="preserve">לאור תוצאה זו </w:t>
      </w:r>
      <w:r w:rsidR="00E1717A" w:rsidRPr="00632B79">
        <w:rPr>
          <w:rFonts w:ascii="FrankRuehl" w:hAnsi="FrankRuehl" w:cs="FrankRuehl" w:hint="cs"/>
          <w:b/>
          <w:bCs/>
          <w:color w:val="000000"/>
          <w:sz w:val="28"/>
          <w:szCs w:val="28"/>
          <w:rtl/>
        </w:rPr>
        <w:t>איני דנה בטענה מי מבין הצדדים עיכב את גירושי הצדדים.</w:t>
      </w:r>
    </w:p>
    <w:p w:rsidR="00B401F4" w:rsidRDefault="00B401F4" w:rsidP="00B401F4">
      <w:pPr>
        <w:spacing w:after="160" w:line="360" w:lineRule="auto"/>
        <w:ind w:left="425" w:hanging="425"/>
        <w:contextualSpacing/>
        <w:jc w:val="both"/>
        <w:rPr>
          <w:rFonts w:ascii="FrankRuehl" w:hAnsi="FrankRuehl" w:cs="FrankRuehl"/>
          <w:color w:val="000000"/>
          <w:sz w:val="28"/>
          <w:szCs w:val="28"/>
          <w:rtl/>
        </w:rPr>
      </w:pPr>
    </w:p>
    <w:p w:rsidR="00DF5E91" w:rsidRDefault="00B401F4" w:rsidP="00A86ABE">
      <w:pPr>
        <w:spacing w:after="160" w:line="360" w:lineRule="auto"/>
        <w:ind w:left="425" w:hanging="425"/>
        <w:contextualSpacing/>
        <w:jc w:val="both"/>
        <w:rPr>
          <w:rFonts w:ascii="FrankRuehl" w:hAnsi="FrankRuehl" w:cs="FrankRuehl"/>
          <w:color w:val="000000"/>
          <w:sz w:val="28"/>
          <w:szCs w:val="28"/>
          <w:rtl/>
        </w:rPr>
      </w:pPr>
      <w:r>
        <w:rPr>
          <w:rFonts w:ascii="FrankRuehl" w:hAnsi="FrankRuehl" w:cs="FrankRuehl" w:hint="cs"/>
          <w:color w:val="000000"/>
          <w:sz w:val="28"/>
          <w:szCs w:val="28"/>
          <w:rtl/>
        </w:rPr>
        <w:t>42.</w:t>
      </w:r>
      <w:r>
        <w:rPr>
          <w:rFonts w:ascii="FrankRuehl" w:hAnsi="FrankRuehl" w:cs="FrankRuehl" w:hint="cs"/>
          <w:color w:val="000000"/>
          <w:sz w:val="28"/>
          <w:szCs w:val="28"/>
          <w:rtl/>
        </w:rPr>
        <w:tab/>
        <w:t xml:space="preserve">עם זאת איני מורה על השבת </w:t>
      </w:r>
      <w:r w:rsidR="00E1717A">
        <w:rPr>
          <w:rFonts w:ascii="FrankRuehl" w:hAnsi="FrankRuehl" w:cs="FrankRuehl" w:hint="cs"/>
          <w:color w:val="000000"/>
          <w:sz w:val="28"/>
          <w:szCs w:val="28"/>
          <w:rtl/>
        </w:rPr>
        <w:t xml:space="preserve">סכומים ששולמו עבור </w:t>
      </w:r>
      <w:r>
        <w:rPr>
          <w:rFonts w:ascii="FrankRuehl" w:hAnsi="FrankRuehl" w:cs="FrankRuehl" w:hint="cs"/>
          <w:color w:val="000000"/>
          <w:sz w:val="28"/>
          <w:szCs w:val="28"/>
          <w:rtl/>
        </w:rPr>
        <w:t xml:space="preserve">מזונות זמניים </w:t>
      </w:r>
      <w:r w:rsidR="00E1717A">
        <w:rPr>
          <w:rFonts w:ascii="FrankRuehl" w:hAnsi="FrankRuehl" w:cs="FrankRuehl" w:hint="cs"/>
          <w:color w:val="000000"/>
          <w:sz w:val="28"/>
          <w:szCs w:val="28"/>
          <w:rtl/>
        </w:rPr>
        <w:t>או על ח</w:t>
      </w:r>
      <w:r>
        <w:rPr>
          <w:rFonts w:ascii="FrankRuehl" w:hAnsi="FrankRuehl" w:cs="FrankRuehl" w:hint="cs"/>
          <w:color w:val="000000"/>
          <w:sz w:val="28"/>
          <w:szCs w:val="28"/>
          <w:rtl/>
        </w:rPr>
        <w:t xml:space="preserve">שבון מזונות על פי ההחלטות שניתנו עד כה. מדובר במזונות שנאכלו. ראו לעניין זה </w:t>
      </w:r>
      <w:r w:rsidRPr="004B1FCD">
        <w:rPr>
          <w:rFonts w:ascii="FrankRuehl" w:hAnsi="FrankRuehl" w:cs="FrankRuehl" w:hint="cs"/>
          <w:color w:val="000000"/>
          <w:sz w:val="28"/>
          <w:szCs w:val="28"/>
          <w:rtl/>
        </w:rPr>
        <w:t>בע"מ 3243/11</w:t>
      </w:r>
      <w:r>
        <w:rPr>
          <w:rFonts w:ascii="FrankRuehl" w:hAnsi="FrankRuehl" w:cs="FrankRuehl" w:hint="cs"/>
          <w:b/>
          <w:bCs/>
          <w:color w:val="000000"/>
          <w:sz w:val="28"/>
          <w:szCs w:val="28"/>
          <w:rtl/>
        </w:rPr>
        <w:t xml:space="preserve"> פלוני נ' פלונית</w:t>
      </w:r>
      <w:r w:rsidRPr="004B1FCD">
        <w:rPr>
          <w:rFonts w:ascii="FrankRuehl" w:hAnsi="FrankRuehl" w:cs="FrankRuehl" w:hint="cs"/>
          <w:color w:val="000000"/>
          <w:sz w:val="28"/>
          <w:szCs w:val="28"/>
          <w:rtl/>
        </w:rPr>
        <w:t>,</w:t>
      </w:r>
      <w:r w:rsidR="00DB36A3">
        <w:rPr>
          <w:rFonts w:ascii="FrankRuehl" w:hAnsi="FrankRuehl" w:cs="FrankRuehl" w:hint="cs"/>
          <w:color w:val="000000"/>
          <w:sz w:val="28"/>
          <w:szCs w:val="28"/>
          <w:rtl/>
        </w:rPr>
        <w:t xml:space="preserve"> </w:t>
      </w:r>
      <w:r w:rsidRPr="004B1FCD">
        <w:rPr>
          <w:rFonts w:ascii="FrankRuehl" w:hAnsi="FrankRuehl" w:cs="FrankRuehl" w:hint="cs"/>
          <w:color w:val="000000"/>
          <w:sz w:val="28"/>
          <w:szCs w:val="28"/>
          <w:rtl/>
        </w:rPr>
        <w:t xml:space="preserve">מיום </w:t>
      </w:r>
      <w:r w:rsidRPr="00E1717A">
        <w:rPr>
          <w:rFonts w:ascii="FrankRuehl" w:hAnsi="FrankRuehl" w:cs="FrankRuehl" w:hint="cs"/>
          <w:color w:val="000000"/>
          <w:sz w:val="28"/>
          <w:szCs w:val="28"/>
          <w:rtl/>
        </w:rPr>
        <w:t>30.</w:t>
      </w:r>
      <w:r w:rsidR="00A86ABE">
        <w:rPr>
          <w:rFonts w:ascii="FrankRuehl" w:hAnsi="FrankRuehl" w:cs="FrankRuehl" w:hint="cs"/>
          <w:color w:val="000000"/>
          <w:sz w:val="28"/>
          <w:szCs w:val="28"/>
          <w:rtl/>
        </w:rPr>
        <w:t>05</w:t>
      </w:r>
      <w:r w:rsidRPr="00E1717A">
        <w:rPr>
          <w:rFonts w:ascii="FrankRuehl" w:hAnsi="FrankRuehl" w:cs="FrankRuehl" w:hint="cs"/>
          <w:color w:val="000000"/>
          <w:sz w:val="28"/>
          <w:szCs w:val="28"/>
          <w:rtl/>
        </w:rPr>
        <w:t>.2011.</w:t>
      </w:r>
      <w:r w:rsidR="00DF5E91" w:rsidRPr="00E1717A">
        <w:rPr>
          <w:rFonts w:ascii="FrankRuehl" w:hAnsi="FrankRuehl" w:cs="FrankRuehl" w:hint="cs"/>
          <w:color w:val="000000"/>
          <w:sz w:val="28"/>
          <w:szCs w:val="28"/>
          <w:rtl/>
        </w:rPr>
        <w:t xml:space="preserve"> </w:t>
      </w:r>
      <w:r w:rsidR="00E1717A" w:rsidRPr="00E1717A">
        <w:rPr>
          <w:rFonts w:ascii="FrankRuehl" w:hAnsi="FrankRuehl" w:cs="FrankRuehl" w:hint="cs"/>
          <w:color w:val="000000"/>
          <w:sz w:val="28"/>
          <w:szCs w:val="28"/>
          <w:rtl/>
        </w:rPr>
        <w:t>בשיקולי הבאתי בחשבון את הצורך לשמור על ביטחון כלכלי של התובעת אשר הקטינה מתגוררת עימה ללא שמתקיימים זמני שהות ואת חיובו של האב בחלוקה בהוצאות החריגות כמפורט להלן, רק ממועד פסה"ד</w:t>
      </w:r>
      <w:r w:rsidR="00A53573">
        <w:rPr>
          <w:rFonts w:ascii="FrankRuehl" w:hAnsi="FrankRuehl" w:cs="FrankRuehl" w:hint="cs"/>
          <w:color w:val="000000"/>
          <w:sz w:val="28"/>
          <w:szCs w:val="28"/>
          <w:rtl/>
        </w:rPr>
        <w:t xml:space="preserve"> וגם כי הייתה תקופה בה התביעה נמחקה ולא שולמו תשלומים עד החייאתה</w:t>
      </w:r>
      <w:r w:rsidR="00E1717A" w:rsidRPr="00E1717A">
        <w:rPr>
          <w:rFonts w:ascii="FrankRuehl" w:hAnsi="FrankRuehl" w:cs="FrankRuehl" w:hint="cs"/>
          <w:color w:val="000000"/>
          <w:sz w:val="28"/>
          <w:szCs w:val="28"/>
          <w:rtl/>
        </w:rPr>
        <w:t>. עוד אוסיף כי</w:t>
      </w:r>
      <w:r w:rsidR="00E1717A">
        <w:rPr>
          <w:rFonts w:ascii="FrankRuehl" w:hAnsi="FrankRuehl" w:cs="FrankRuehl" w:hint="cs"/>
          <w:b/>
          <w:bCs/>
          <w:color w:val="000000"/>
          <w:sz w:val="28"/>
          <w:szCs w:val="28"/>
          <w:rtl/>
        </w:rPr>
        <w:t xml:space="preserve"> </w:t>
      </w:r>
      <w:r w:rsidR="00DF5E91">
        <w:rPr>
          <w:rFonts w:ascii="FrankRuehl" w:hAnsi="FrankRuehl" w:cs="FrankRuehl" w:hint="cs"/>
          <w:color w:val="000000"/>
          <w:sz w:val="28"/>
          <w:szCs w:val="28"/>
          <w:rtl/>
        </w:rPr>
        <w:t>בין הצדדים מתנהל הליך נוספי, כספי, במסגרתו טוען הנתבע כי על התובעת להשיב לו כספי פיצויי שהוצאו על יד</w:t>
      </w:r>
      <w:r w:rsidR="009F0996">
        <w:rPr>
          <w:rFonts w:ascii="FrankRuehl" w:hAnsi="FrankRuehl" w:cs="FrankRuehl" w:hint="cs"/>
          <w:color w:val="000000"/>
          <w:sz w:val="28"/>
          <w:szCs w:val="28"/>
          <w:rtl/>
        </w:rPr>
        <w:t>ה</w:t>
      </w:r>
      <w:r w:rsidR="00DF5E91">
        <w:rPr>
          <w:rFonts w:ascii="FrankRuehl" w:hAnsi="FrankRuehl" w:cs="FrankRuehl" w:hint="cs"/>
          <w:color w:val="000000"/>
          <w:sz w:val="28"/>
          <w:szCs w:val="28"/>
          <w:rtl/>
        </w:rPr>
        <w:t>, לטענתו במרמה. ככול שיפסקו בהליך שם הוצאות או שכר טרחה לחובת הנתבע, וזאת מבלי להביע עמדה בנוגע לטענות שם, אביא בחשבון בשיקולי שם כי לא הור</w:t>
      </w:r>
      <w:r w:rsidR="009F0996">
        <w:rPr>
          <w:rFonts w:ascii="FrankRuehl" w:hAnsi="FrankRuehl" w:cs="FrankRuehl" w:hint="cs"/>
          <w:color w:val="000000"/>
          <w:sz w:val="28"/>
          <w:szCs w:val="28"/>
          <w:rtl/>
        </w:rPr>
        <w:t>י</w:t>
      </w:r>
      <w:r w:rsidR="00DF5E91">
        <w:rPr>
          <w:rFonts w:ascii="FrankRuehl" w:hAnsi="FrankRuehl" w:cs="FrankRuehl" w:hint="cs"/>
          <w:color w:val="000000"/>
          <w:sz w:val="28"/>
          <w:szCs w:val="28"/>
          <w:rtl/>
        </w:rPr>
        <w:t>תי על השבת המזונות ששולמו לתובעת עבור מזונות</w:t>
      </w:r>
      <w:r w:rsidR="00E1717A">
        <w:rPr>
          <w:rFonts w:ascii="FrankRuehl" w:hAnsi="FrankRuehl" w:cs="FrankRuehl" w:hint="cs"/>
          <w:color w:val="000000"/>
          <w:sz w:val="28"/>
          <w:szCs w:val="28"/>
          <w:rtl/>
        </w:rPr>
        <w:t>י</w:t>
      </w:r>
      <w:r w:rsidR="00DF5E91">
        <w:rPr>
          <w:rFonts w:ascii="FrankRuehl" w:hAnsi="FrankRuehl" w:cs="FrankRuehl" w:hint="cs"/>
          <w:color w:val="000000"/>
          <w:sz w:val="28"/>
          <w:szCs w:val="28"/>
          <w:rtl/>
        </w:rPr>
        <w:t>ה, ביתר.</w:t>
      </w:r>
    </w:p>
    <w:p w:rsidR="00177BA9" w:rsidRDefault="00177BA9" w:rsidP="00DF5E91">
      <w:pPr>
        <w:spacing w:after="160" w:line="360" w:lineRule="auto"/>
        <w:ind w:left="425" w:hanging="425"/>
        <w:contextualSpacing/>
        <w:jc w:val="both"/>
        <w:rPr>
          <w:rFonts w:ascii="FrankRuehl" w:hAnsi="FrankRuehl" w:cs="FrankRuehl"/>
          <w:color w:val="000000"/>
          <w:sz w:val="28"/>
          <w:szCs w:val="28"/>
          <w:rtl/>
        </w:rPr>
      </w:pPr>
    </w:p>
    <w:p w:rsidR="00177BA9" w:rsidRDefault="00177BA9" w:rsidP="00177BA9">
      <w:pPr>
        <w:spacing w:after="160" w:line="360" w:lineRule="auto"/>
        <w:ind w:left="425" w:hanging="425"/>
        <w:contextualSpacing/>
        <w:jc w:val="both"/>
        <w:rPr>
          <w:rFonts w:ascii="FrankRuehl" w:hAnsi="FrankRuehl" w:cs="FrankRuehl"/>
          <w:color w:val="000000"/>
          <w:sz w:val="28"/>
          <w:szCs w:val="28"/>
          <w:rtl/>
        </w:rPr>
      </w:pPr>
      <w:r>
        <w:rPr>
          <w:rFonts w:ascii="FrankRuehl" w:hAnsi="FrankRuehl" w:cs="FrankRuehl" w:hint="cs"/>
          <w:color w:val="000000"/>
          <w:sz w:val="28"/>
          <w:szCs w:val="28"/>
          <w:rtl/>
        </w:rPr>
        <w:t>43.</w:t>
      </w:r>
      <w:r>
        <w:rPr>
          <w:rFonts w:ascii="FrankRuehl" w:hAnsi="FrankRuehl" w:cs="FrankRuehl" w:hint="cs"/>
          <w:color w:val="000000"/>
          <w:sz w:val="28"/>
          <w:szCs w:val="28"/>
          <w:rtl/>
        </w:rPr>
        <w:tab/>
      </w:r>
      <w:r w:rsidRPr="009F0996">
        <w:rPr>
          <w:rFonts w:ascii="FrankRuehl" w:hAnsi="FrankRuehl" w:cs="FrankRuehl" w:hint="cs"/>
          <w:b/>
          <w:bCs/>
          <w:color w:val="000000"/>
          <w:sz w:val="28"/>
          <w:szCs w:val="28"/>
          <w:rtl/>
        </w:rPr>
        <w:t>נפסק</w:t>
      </w:r>
      <w:r>
        <w:rPr>
          <w:rFonts w:ascii="FrankRuehl" w:hAnsi="FrankRuehl" w:cs="FrankRuehl" w:hint="cs"/>
          <w:color w:val="000000"/>
          <w:sz w:val="28"/>
          <w:szCs w:val="28"/>
          <w:rtl/>
        </w:rPr>
        <w:t>:</w:t>
      </w:r>
    </w:p>
    <w:p w:rsidR="00177BA9" w:rsidRDefault="00177BA9" w:rsidP="00177BA9">
      <w:pPr>
        <w:spacing w:after="160" w:line="360" w:lineRule="auto"/>
        <w:ind w:left="425" w:hanging="425"/>
        <w:contextualSpacing/>
        <w:jc w:val="both"/>
        <w:rPr>
          <w:rFonts w:ascii="FrankRuehl" w:hAnsi="FrankRuehl" w:cs="FrankRuehl"/>
          <w:color w:val="000000"/>
          <w:sz w:val="28"/>
          <w:szCs w:val="28"/>
          <w:rtl/>
        </w:rPr>
      </w:pPr>
    </w:p>
    <w:p w:rsidR="00E16C9D" w:rsidRDefault="00177BA9" w:rsidP="009F0996">
      <w:pPr>
        <w:spacing w:after="160" w:line="360" w:lineRule="auto"/>
        <w:ind w:left="1440" w:hanging="1015"/>
        <w:contextualSpacing/>
        <w:jc w:val="both"/>
        <w:rPr>
          <w:rFonts w:ascii="FrankRuehl" w:hAnsi="FrankRuehl" w:cs="FrankRuehl"/>
          <w:color w:val="000000"/>
          <w:sz w:val="28"/>
          <w:szCs w:val="28"/>
          <w:rtl/>
        </w:rPr>
      </w:pPr>
      <w:r>
        <w:rPr>
          <w:rFonts w:ascii="FrankRuehl" w:hAnsi="FrankRuehl" w:cs="FrankRuehl" w:hint="cs"/>
          <w:color w:val="000000"/>
          <w:sz w:val="28"/>
          <w:szCs w:val="28"/>
          <w:rtl/>
        </w:rPr>
        <w:t>43.</w:t>
      </w:r>
      <w:r w:rsidR="00E16C9D">
        <w:rPr>
          <w:rFonts w:ascii="FrankRuehl" w:hAnsi="FrankRuehl" w:cs="FrankRuehl" w:hint="cs"/>
          <w:color w:val="000000"/>
          <w:sz w:val="28"/>
          <w:szCs w:val="28"/>
          <w:rtl/>
        </w:rPr>
        <w:t>1.</w:t>
      </w:r>
      <w:r w:rsidR="00E16C9D">
        <w:rPr>
          <w:rFonts w:ascii="FrankRuehl" w:hAnsi="FrankRuehl" w:cs="FrankRuehl" w:hint="cs"/>
          <w:color w:val="000000"/>
          <w:sz w:val="28"/>
          <w:szCs w:val="28"/>
          <w:rtl/>
        </w:rPr>
        <w:tab/>
      </w:r>
      <w:r w:rsidRPr="00177BA9">
        <w:rPr>
          <w:rFonts w:ascii="FrankRuehl" w:hAnsi="FrankRuehl" w:cs="FrankRuehl"/>
          <w:sz w:val="28"/>
          <w:szCs w:val="28"/>
          <w:rtl/>
          <w:lang w:eastAsia="he-IL"/>
        </w:rPr>
        <w:t xml:space="preserve">ממועד הגשת התביעה ישלם </w:t>
      </w:r>
      <w:r w:rsidR="009F0996">
        <w:rPr>
          <w:rFonts w:ascii="FrankRuehl" w:hAnsi="FrankRuehl" w:cs="FrankRuehl" w:hint="cs"/>
          <w:sz w:val="28"/>
          <w:szCs w:val="28"/>
          <w:rtl/>
          <w:lang w:eastAsia="he-IL"/>
        </w:rPr>
        <w:t>התובע</w:t>
      </w:r>
      <w:r w:rsidRPr="00177BA9">
        <w:rPr>
          <w:rFonts w:ascii="FrankRuehl" w:hAnsi="FrankRuehl" w:cs="FrankRuehl"/>
          <w:sz w:val="28"/>
          <w:szCs w:val="28"/>
          <w:rtl/>
          <w:lang w:eastAsia="he-IL"/>
        </w:rPr>
        <w:t xml:space="preserve"> ישלם למזונות הקטינ</w:t>
      </w:r>
      <w:r w:rsidR="00E16C9D">
        <w:rPr>
          <w:rFonts w:ascii="FrankRuehl" w:hAnsi="FrankRuehl" w:cs="FrankRuehl" w:hint="cs"/>
          <w:sz w:val="28"/>
          <w:szCs w:val="28"/>
          <w:rtl/>
          <w:lang w:eastAsia="he-IL"/>
        </w:rPr>
        <w:t>ה</w:t>
      </w:r>
      <w:r w:rsidRPr="00177BA9">
        <w:rPr>
          <w:rFonts w:ascii="FrankRuehl" w:hAnsi="FrankRuehl" w:cs="FrankRuehl"/>
          <w:sz w:val="28"/>
          <w:szCs w:val="28"/>
          <w:rtl/>
          <w:lang w:eastAsia="he-IL"/>
        </w:rPr>
        <w:t xml:space="preserve">, באמצעות </w:t>
      </w:r>
      <w:r w:rsidR="009F0996">
        <w:rPr>
          <w:rFonts w:ascii="FrankRuehl" w:hAnsi="FrankRuehl" w:cs="FrankRuehl" w:hint="cs"/>
          <w:sz w:val="28"/>
          <w:szCs w:val="28"/>
          <w:rtl/>
          <w:lang w:eastAsia="he-IL"/>
        </w:rPr>
        <w:t>התובעת</w:t>
      </w:r>
      <w:r w:rsidRPr="00177BA9">
        <w:rPr>
          <w:rFonts w:ascii="FrankRuehl" w:hAnsi="FrankRuehl" w:cs="FrankRuehl"/>
          <w:sz w:val="28"/>
          <w:szCs w:val="28"/>
          <w:rtl/>
          <w:lang w:eastAsia="he-IL"/>
        </w:rPr>
        <w:t xml:space="preserve">, סך </w:t>
      </w:r>
      <w:r w:rsidR="00E16C9D">
        <w:rPr>
          <w:rFonts w:ascii="FrankRuehl" w:hAnsi="FrankRuehl" w:cs="FrankRuehl" w:hint="cs"/>
          <w:sz w:val="28"/>
          <w:szCs w:val="28"/>
          <w:rtl/>
          <w:lang w:eastAsia="he-IL"/>
        </w:rPr>
        <w:t xml:space="preserve">1,400 ₪ לחודש. </w:t>
      </w:r>
      <w:r w:rsidRPr="00177BA9">
        <w:rPr>
          <w:rFonts w:ascii="FrankRuehl" w:hAnsi="FrankRuehl" w:cs="FrankRuehl"/>
          <w:sz w:val="28"/>
          <w:szCs w:val="28"/>
          <w:rtl/>
          <w:lang w:eastAsia="he-IL"/>
        </w:rPr>
        <w:t xml:space="preserve">התשלום ישולם ב- 10 לכל חודש מראש, עד הגעת </w:t>
      </w:r>
      <w:r w:rsidR="00E16C9D">
        <w:rPr>
          <w:rFonts w:ascii="FrankRuehl" w:hAnsi="FrankRuehl" w:cs="FrankRuehl" w:hint="cs"/>
          <w:sz w:val="28"/>
          <w:szCs w:val="28"/>
          <w:rtl/>
          <w:lang w:eastAsia="he-IL"/>
        </w:rPr>
        <w:t xml:space="preserve">הקטינה לגיל 18 </w:t>
      </w:r>
      <w:r w:rsidRPr="00177BA9">
        <w:rPr>
          <w:rFonts w:ascii="FrankRuehl" w:hAnsi="FrankRuehl" w:cs="FrankRuehl"/>
          <w:sz w:val="28"/>
          <w:szCs w:val="28"/>
          <w:rtl/>
          <w:lang w:eastAsia="he-IL"/>
        </w:rPr>
        <w:t>או סיום לימודי התיכון לפי המאוחר מבין השניים. ממועד  זה ו</w:t>
      </w:r>
      <w:r w:rsidRPr="00177BA9">
        <w:rPr>
          <w:rFonts w:ascii="FrankRuehl" w:hAnsi="FrankRuehl" w:cs="FrankRuehl"/>
          <w:sz w:val="28"/>
          <w:szCs w:val="28"/>
          <w:rtl/>
        </w:rPr>
        <w:t xml:space="preserve">בתקופת שירות צבאי </w:t>
      </w:r>
      <w:r w:rsidR="009F0996">
        <w:rPr>
          <w:rFonts w:ascii="FrankRuehl" w:hAnsi="FrankRuehl" w:cs="FrankRuehl" w:hint="cs"/>
          <w:sz w:val="28"/>
          <w:szCs w:val="28"/>
          <w:rtl/>
        </w:rPr>
        <w:t>(</w:t>
      </w:r>
      <w:r w:rsidR="00632B79">
        <w:rPr>
          <w:rFonts w:ascii="FrankRuehl" w:hAnsi="FrankRuehl" w:cs="FrankRuehl" w:hint="cs"/>
          <w:sz w:val="28"/>
          <w:szCs w:val="28"/>
          <w:rtl/>
        </w:rPr>
        <w:t>חובה</w:t>
      </w:r>
      <w:r w:rsidR="009F0996">
        <w:rPr>
          <w:rFonts w:ascii="FrankRuehl" w:hAnsi="FrankRuehl" w:cs="FrankRuehl" w:hint="cs"/>
          <w:sz w:val="28"/>
          <w:szCs w:val="28"/>
          <w:rtl/>
        </w:rPr>
        <w:t>)</w:t>
      </w:r>
      <w:r w:rsidR="00632B79">
        <w:rPr>
          <w:rFonts w:ascii="FrankRuehl" w:hAnsi="FrankRuehl" w:cs="FrankRuehl" w:hint="cs"/>
          <w:sz w:val="28"/>
          <w:szCs w:val="28"/>
          <w:rtl/>
        </w:rPr>
        <w:t xml:space="preserve"> </w:t>
      </w:r>
      <w:r w:rsidRPr="00177BA9">
        <w:rPr>
          <w:rFonts w:ascii="FrankRuehl" w:hAnsi="FrankRuehl" w:cs="FrankRuehl"/>
          <w:sz w:val="28"/>
          <w:szCs w:val="28"/>
          <w:rtl/>
        </w:rPr>
        <w:t>או שירות הלאומי י</w:t>
      </w:r>
      <w:r w:rsidR="00632B79">
        <w:rPr>
          <w:rFonts w:ascii="FrankRuehl" w:hAnsi="FrankRuehl" w:cs="FrankRuehl" w:hint="cs"/>
          <w:sz w:val="28"/>
          <w:szCs w:val="28"/>
          <w:rtl/>
        </w:rPr>
        <w:t>פחת התשלום לשיעור 1/3 מ</w:t>
      </w:r>
      <w:r w:rsidRPr="00177BA9">
        <w:rPr>
          <w:rFonts w:ascii="FrankRuehl" w:hAnsi="FrankRuehl" w:cs="FrankRuehl"/>
          <w:sz w:val="28"/>
          <w:szCs w:val="28"/>
          <w:rtl/>
        </w:rPr>
        <w:t>גובה</w:t>
      </w:r>
      <w:r w:rsidR="00632B79">
        <w:rPr>
          <w:rFonts w:ascii="FrankRuehl" w:hAnsi="FrankRuehl" w:cs="FrankRuehl" w:hint="cs"/>
          <w:sz w:val="28"/>
          <w:szCs w:val="28"/>
          <w:rtl/>
        </w:rPr>
        <w:t>ו</w:t>
      </w:r>
      <w:r w:rsidRPr="00177BA9">
        <w:rPr>
          <w:rFonts w:ascii="FrankRuehl" w:hAnsi="FrankRuehl" w:cs="FrankRuehl"/>
          <w:sz w:val="28"/>
          <w:szCs w:val="28"/>
          <w:rtl/>
        </w:rPr>
        <w:t xml:space="preserve"> ערב תשלומ</w:t>
      </w:r>
      <w:r w:rsidR="00632B79">
        <w:rPr>
          <w:rFonts w:ascii="FrankRuehl" w:hAnsi="FrankRuehl" w:cs="FrankRuehl" w:hint="cs"/>
          <w:sz w:val="28"/>
          <w:szCs w:val="28"/>
          <w:rtl/>
        </w:rPr>
        <w:t>ו</w:t>
      </w:r>
      <w:r w:rsidRPr="00177BA9">
        <w:rPr>
          <w:rFonts w:ascii="FrankRuehl" w:hAnsi="FrankRuehl" w:cs="FrankRuehl"/>
          <w:sz w:val="28"/>
          <w:szCs w:val="28"/>
          <w:rtl/>
        </w:rPr>
        <w:t xml:space="preserve">.  </w:t>
      </w:r>
    </w:p>
    <w:p w:rsidR="00E16C9D" w:rsidRDefault="00E16C9D" w:rsidP="00E16C9D">
      <w:pPr>
        <w:spacing w:after="160" w:line="360" w:lineRule="auto"/>
        <w:ind w:left="1440" w:hanging="1015"/>
        <w:contextualSpacing/>
        <w:jc w:val="both"/>
        <w:rPr>
          <w:rFonts w:ascii="FrankRuehl" w:hAnsi="FrankRuehl" w:cs="FrankRuehl"/>
          <w:sz w:val="28"/>
          <w:szCs w:val="28"/>
          <w:rtl/>
        </w:rPr>
      </w:pPr>
    </w:p>
    <w:p w:rsidR="00177BA9" w:rsidRDefault="00E16C9D" w:rsidP="00A53573">
      <w:pPr>
        <w:spacing w:after="160" w:line="360" w:lineRule="auto"/>
        <w:ind w:left="1440" w:hanging="1015"/>
        <w:contextualSpacing/>
        <w:jc w:val="both"/>
        <w:rPr>
          <w:rFonts w:ascii="FrankRuehl" w:hAnsi="FrankRuehl" w:cs="FrankRuehl"/>
          <w:color w:val="000000"/>
          <w:sz w:val="28"/>
          <w:szCs w:val="28"/>
          <w:rtl/>
        </w:rPr>
      </w:pPr>
      <w:r>
        <w:rPr>
          <w:rFonts w:ascii="FrankRuehl" w:hAnsi="FrankRuehl" w:cs="FrankRuehl" w:hint="cs"/>
          <w:sz w:val="28"/>
          <w:szCs w:val="28"/>
          <w:rtl/>
        </w:rPr>
        <w:t>43.2.</w:t>
      </w:r>
      <w:r>
        <w:rPr>
          <w:rFonts w:ascii="FrankRuehl" w:hAnsi="FrankRuehl" w:cs="FrankRuehl" w:hint="cs"/>
          <w:sz w:val="28"/>
          <w:szCs w:val="28"/>
          <w:rtl/>
        </w:rPr>
        <w:tab/>
        <w:t xml:space="preserve">נוסף על כך, </w:t>
      </w:r>
      <w:r w:rsidR="00177BA9" w:rsidRPr="00177BA9">
        <w:rPr>
          <w:rFonts w:ascii="FrankRuehl" w:hAnsi="FrankRuehl" w:cs="FrankRuehl"/>
          <w:sz w:val="28"/>
          <w:szCs w:val="28"/>
          <w:rtl/>
        </w:rPr>
        <w:t>כפוף להצגת הסכם שכירות תקף</w:t>
      </w:r>
      <w:r>
        <w:rPr>
          <w:rFonts w:ascii="FrankRuehl" w:hAnsi="FrankRuehl" w:cs="FrankRuehl" w:hint="cs"/>
          <w:sz w:val="28"/>
          <w:szCs w:val="28"/>
          <w:rtl/>
        </w:rPr>
        <w:t xml:space="preserve">, תשלומים בפועל ומגורים בפועל </w:t>
      </w:r>
      <w:r w:rsidR="00177BA9" w:rsidRPr="00177BA9">
        <w:rPr>
          <w:rFonts w:ascii="FrankRuehl" w:hAnsi="FrankRuehl" w:cs="FrankRuehl"/>
          <w:sz w:val="28"/>
          <w:szCs w:val="28"/>
          <w:rtl/>
        </w:rPr>
        <w:t>של התובעת עם הקטינ</w:t>
      </w:r>
      <w:r>
        <w:rPr>
          <w:rFonts w:ascii="FrankRuehl" w:hAnsi="FrankRuehl" w:cs="FrankRuehl" w:hint="cs"/>
          <w:sz w:val="28"/>
          <w:szCs w:val="28"/>
          <w:rtl/>
        </w:rPr>
        <w:t xml:space="preserve">ה בדירה מושא ההסכם, </w:t>
      </w:r>
      <w:r w:rsidR="00177BA9" w:rsidRPr="00177BA9">
        <w:rPr>
          <w:rFonts w:ascii="FrankRuehl" w:hAnsi="FrankRuehl" w:cs="FrankRuehl"/>
          <w:sz w:val="28"/>
          <w:szCs w:val="28"/>
          <w:rtl/>
        </w:rPr>
        <w:t xml:space="preserve">הנתבע יישא בתשלום שיעור של </w:t>
      </w:r>
      <w:r>
        <w:rPr>
          <w:rFonts w:ascii="FrankRuehl" w:hAnsi="FrankRuehl" w:cs="FrankRuehl" w:hint="cs"/>
          <w:sz w:val="28"/>
          <w:szCs w:val="28"/>
          <w:rtl/>
        </w:rPr>
        <w:t>25%</w:t>
      </w:r>
      <w:r w:rsidR="00632B79">
        <w:rPr>
          <w:rFonts w:ascii="FrankRuehl" w:hAnsi="FrankRuehl" w:cs="FrankRuehl" w:hint="cs"/>
          <w:sz w:val="28"/>
          <w:szCs w:val="28"/>
          <w:rtl/>
        </w:rPr>
        <w:t xml:space="preserve"> משכר הדירה/</w:t>
      </w:r>
      <w:r w:rsidR="009F0996">
        <w:rPr>
          <w:rFonts w:ascii="FrankRuehl" w:hAnsi="FrankRuehl" w:cs="FrankRuehl" w:hint="cs"/>
          <w:sz w:val="28"/>
          <w:szCs w:val="28"/>
          <w:rtl/>
        </w:rPr>
        <w:t>משכנתא ולא יותר מסך 500 ₪.</w:t>
      </w:r>
      <w:r w:rsidR="00A53573">
        <w:rPr>
          <w:rFonts w:ascii="FrankRuehl" w:hAnsi="FrankRuehl" w:cs="FrankRuehl" w:hint="cs"/>
          <w:sz w:val="28"/>
          <w:szCs w:val="28"/>
          <w:rtl/>
        </w:rPr>
        <w:t xml:space="preserve"> </w:t>
      </w:r>
      <w:r>
        <w:rPr>
          <w:rFonts w:ascii="FrankRuehl" w:hAnsi="FrankRuehl" w:cs="FrankRuehl" w:hint="cs"/>
          <w:sz w:val="28"/>
          <w:szCs w:val="28"/>
          <w:rtl/>
        </w:rPr>
        <w:t xml:space="preserve">אם </w:t>
      </w:r>
      <w:r w:rsidR="00177BA9" w:rsidRPr="00177BA9">
        <w:rPr>
          <w:rFonts w:ascii="FrankRuehl" w:hAnsi="FrankRuehl" w:cs="FrankRuehl"/>
          <w:sz w:val="28"/>
          <w:szCs w:val="28"/>
          <w:rtl/>
        </w:rPr>
        <w:t>יתגורר</w:t>
      </w:r>
      <w:r>
        <w:rPr>
          <w:rFonts w:ascii="FrankRuehl" w:hAnsi="FrankRuehl" w:cs="FrankRuehl" w:hint="cs"/>
          <w:sz w:val="28"/>
          <w:szCs w:val="28"/>
          <w:rtl/>
        </w:rPr>
        <w:t xml:space="preserve"> בדירה גם צד ג', </w:t>
      </w:r>
      <w:r w:rsidR="00177BA9" w:rsidRPr="00177BA9">
        <w:rPr>
          <w:rFonts w:ascii="FrankRuehl" w:hAnsi="FrankRuehl" w:cs="FrankRuehl"/>
          <w:sz w:val="28"/>
          <w:szCs w:val="28"/>
          <w:rtl/>
        </w:rPr>
        <w:t>יפחת התשלום המוטל על הנתבע לשיעור 1/3.</w:t>
      </w:r>
    </w:p>
    <w:p w:rsidR="00A53573" w:rsidRDefault="00A53573" w:rsidP="00E16C9D">
      <w:pPr>
        <w:spacing w:after="160" w:line="360" w:lineRule="auto"/>
        <w:ind w:left="1440" w:hanging="1015"/>
        <w:contextualSpacing/>
        <w:jc w:val="both"/>
        <w:rPr>
          <w:rFonts w:ascii="FrankRuehl" w:hAnsi="FrankRuehl" w:cs="FrankRuehl"/>
          <w:color w:val="000000"/>
          <w:sz w:val="28"/>
          <w:szCs w:val="28"/>
          <w:rtl/>
        </w:rPr>
      </w:pPr>
    </w:p>
    <w:p w:rsidR="00E16C9D" w:rsidRDefault="00E16C9D" w:rsidP="00632B79">
      <w:pPr>
        <w:spacing w:after="160" w:line="360" w:lineRule="auto"/>
        <w:ind w:left="1440" w:hanging="1015"/>
        <w:contextualSpacing/>
        <w:jc w:val="both"/>
        <w:rPr>
          <w:rFonts w:ascii="FrankRuehl" w:hAnsi="FrankRuehl" w:cs="FrankRuehl"/>
          <w:sz w:val="28"/>
          <w:szCs w:val="28"/>
          <w:rtl/>
        </w:rPr>
      </w:pPr>
      <w:r>
        <w:rPr>
          <w:rFonts w:ascii="FrankRuehl" w:hAnsi="FrankRuehl" w:cs="FrankRuehl" w:hint="cs"/>
          <w:sz w:val="28"/>
          <w:szCs w:val="28"/>
          <w:rtl/>
        </w:rPr>
        <w:t>43.3.</w:t>
      </w:r>
      <w:r>
        <w:rPr>
          <w:rFonts w:ascii="FrankRuehl" w:hAnsi="FrankRuehl" w:cs="FrankRuehl" w:hint="cs"/>
          <w:sz w:val="28"/>
          <w:szCs w:val="28"/>
          <w:rtl/>
        </w:rPr>
        <w:tab/>
      </w:r>
      <w:r w:rsidRPr="00177BA9">
        <w:rPr>
          <w:rFonts w:ascii="FrankRuehl" w:hAnsi="FrankRuehl" w:cs="FrankRuehl"/>
          <w:sz w:val="28"/>
          <w:szCs w:val="28"/>
          <w:rtl/>
        </w:rPr>
        <w:t xml:space="preserve">דמי המזונות צמודים למדד המחירים לצרכן על בסיס המדד הידוע היום ויעודכן פעם בשנה – במזונות חודש ינואר של כל שנה, ללא הפרשים לתקופות הביניים. </w:t>
      </w:r>
    </w:p>
    <w:p w:rsidR="00E16C9D" w:rsidRDefault="00E16C9D" w:rsidP="00E16C9D">
      <w:pPr>
        <w:spacing w:after="160" w:line="360" w:lineRule="auto"/>
        <w:ind w:left="1440" w:hanging="1015"/>
        <w:contextualSpacing/>
        <w:jc w:val="both"/>
        <w:rPr>
          <w:rFonts w:ascii="FrankRuehl" w:hAnsi="FrankRuehl" w:cs="FrankRuehl"/>
          <w:sz w:val="28"/>
          <w:szCs w:val="28"/>
          <w:rtl/>
        </w:rPr>
      </w:pPr>
    </w:p>
    <w:p w:rsidR="00E16C9D" w:rsidRDefault="00E16C9D" w:rsidP="009F0996">
      <w:pPr>
        <w:spacing w:after="160" w:line="360" w:lineRule="auto"/>
        <w:ind w:left="1440" w:hanging="1015"/>
        <w:contextualSpacing/>
        <w:jc w:val="both"/>
        <w:rPr>
          <w:rFonts w:ascii="FrankRuehl" w:hAnsi="FrankRuehl" w:cs="FrankRuehl"/>
          <w:sz w:val="28"/>
          <w:szCs w:val="28"/>
          <w:rtl/>
        </w:rPr>
      </w:pPr>
      <w:r>
        <w:rPr>
          <w:rFonts w:ascii="FrankRuehl" w:hAnsi="FrankRuehl" w:cs="FrankRuehl" w:hint="cs"/>
          <w:sz w:val="28"/>
          <w:szCs w:val="28"/>
          <w:rtl/>
        </w:rPr>
        <w:t>43.4.</w:t>
      </w:r>
      <w:r>
        <w:rPr>
          <w:rFonts w:ascii="FrankRuehl" w:hAnsi="FrankRuehl" w:cs="FrankRuehl" w:hint="cs"/>
          <w:sz w:val="28"/>
          <w:szCs w:val="28"/>
          <w:rtl/>
        </w:rPr>
        <w:tab/>
      </w:r>
      <w:r w:rsidR="00177BA9" w:rsidRPr="00177BA9">
        <w:rPr>
          <w:rFonts w:ascii="FrankRuehl" w:hAnsi="FrankRuehl" w:cs="FrankRuehl"/>
          <w:sz w:val="28"/>
          <w:szCs w:val="28"/>
          <w:rtl/>
        </w:rPr>
        <w:t>ק</w:t>
      </w:r>
      <w:r w:rsidR="009F0996">
        <w:rPr>
          <w:rFonts w:ascii="FrankRuehl" w:hAnsi="FrankRuehl" w:cs="FrankRuehl" w:hint="cs"/>
          <w:sz w:val="28"/>
          <w:szCs w:val="28"/>
          <w:rtl/>
        </w:rPr>
        <w:t>ִ</w:t>
      </w:r>
      <w:r w:rsidR="00177BA9" w:rsidRPr="00177BA9">
        <w:rPr>
          <w:rFonts w:ascii="FrankRuehl" w:hAnsi="FrankRuehl" w:cs="FrankRuehl"/>
          <w:sz w:val="28"/>
          <w:szCs w:val="28"/>
          <w:rtl/>
        </w:rPr>
        <w:t xml:space="preserve">צבת הילדים וכל קצבה המשולמת ע"י המוסד לביטוח לאומי עבור הקטינים תשולם </w:t>
      </w:r>
      <w:r w:rsidR="009F0996">
        <w:rPr>
          <w:rFonts w:ascii="FrankRuehl" w:hAnsi="FrankRuehl" w:cs="FrankRuehl" w:hint="cs"/>
          <w:sz w:val="28"/>
          <w:szCs w:val="28"/>
          <w:rtl/>
        </w:rPr>
        <w:t xml:space="preserve">לתובעת </w:t>
      </w:r>
      <w:r w:rsidR="00177BA9" w:rsidRPr="00177BA9">
        <w:rPr>
          <w:rFonts w:ascii="FrankRuehl" w:hAnsi="FrankRuehl" w:cs="FrankRuehl"/>
          <w:sz w:val="28"/>
          <w:szCs w:val="28"/>
          <w:rtl/>
        </w:rPr>
        <w:t>נוסף ל</w:t>
      </w:r>
      <w:r>
        <w:rPr>
          <w:rFonts w:ascii="FrankRuehl" w:hAnsi="FrankRuehl" w:cs="FrankRuehl" w:hint="cs"/>
          <w:sz w:val="28"/>
          <w:szCs w:val="28"/>
          <w:rtl/>
        </w:rPr>
        <w:t>על המזונות.</w:t>
      </w:r>
    </w:p>
    <w:p w:rsidR="00860F40" w:rsidRDefault="00860F40" w:rsidP="00E16C9D">
      <w:pPr>
        <w:spacing w:after="160" w:line="360" w:lineRule="auto"/>
        <w:ind w:left="1440" w:hanging="1015"/>
        <w:contextualSpacing/>
        <w:jc w:val="both"/>
        <w:rPr>
          <w:rFonts w:ascii="FrankRuehl" w:hAnsi="FrankRuehl" w:cs="FrankRuehl"/>
          <w:sz w:val="28"/>
          <w:szCs w:val="28"/>
          <w:rtl/>
        </w:rPr>
      </w:pPr>
    </w:p>
    <w:p w:rsidR="00E16C9D" w:rsidRDefault="00E16C9D" w:rsidP="00A53573">
      <w:pPr>
        <w:spacing w:after="160" w:line="360" w:lineRule="auto"/>
        <w:ind w:left="1440" w:hanging="1015"/>
        <w:contextualSpacing/>
        <w:jc w:val="both"/>
        <w:rPr>
          <w:rFonts w:ascii="FrankRuehl" w:hAnsi="FrankRuehl" w:cs="FrankRuehl"/>
          <w:sz w:val="28"/>
          <w:szCs w:val="28"/>
          <w:rtl/>
        </w:rPr>
      </w:pPr>
      <w:r>
        <w:rPr>
          <w:rFonts w:ascii="FrankRuehl" w:hAnsi="FrankRuehl" w:cs="FrankRuehl" w:hint="cs"/>
          <w:sz w:val="28"/>
          <w:szCs w:val="28"/>
          <w:rtl/>
        </w:rPr>
        <w:t>43.5</w:t>
      </w:r>
      <w:r>
        <w:rPr>
          <w:rFonts w:ascii="FrankRuehl" w:hAnsi="FrankRuehl" w:cs="FrankRuehl" w:hint="cs"/>
          <w:sz w:val="28"/>
          <w:szCs w:val="28"/>
          <w:rtl/>
        </w:rPr>
        <w:tab/>
      </w:r>
      <w:r w:rsidR="00177BA9" w:rsidRPr="00177BA9">
        <w:rPr>
          <w:rFonts w:ascii="FrankRuehl" w:hAnsi="FrankRuehl" w:cs="FrankRuehl"/>
          <w:sz w:val="28"/>
          <w:szCs w:val="28"/>
          <w:rtl/>
        </w:rPr>
        <w:t xml:space="preserve">ממועד </w:t>
      </w:r>
      <w:r>
        <w:rPr>
          <w:rFonts w:ascii="FrankRuehl" w:hAnsi="FrankRuehl" w:cs="FrankRuehl" w:hint="cs"/>
          <w:sz w:val="28"/>
          <w:szCs w:val="28"/>
          <w:rtl/>
        </w:rPr>
        <w:t xml:space="preserve">פסק הדין, </w:t>
      </w:r>
      <w:r w:rsidR="00177BA9" w:rsidRPr="00177BA9">
        <w:rPr>
          <w:rFonts w:ascii="FrankRuehl" w:hAnsi="FrankRuehl" w:cs="FrankRuehl"/>
          <w:sz w:val="28"/>
          <w:szCs w:val="28"/>
          <w:rtl/>
        </w:rPr>
        <w:t>יישאו הצדדים בחלוקה בשיעור 2</w:t>
      </w:r>
      <w:r>
        <w:rPr>
          <w:rFonts w:ascii="FrankRuehl" w:hAnsi="FrankRuehl" w:cs="FrankRuehl" w:hint="cs"/>
          <w:sz w:val="28"/>
          <w:szCs w:val="28"/>
          <w:rtl/>
        </w:rPr>
        <w:t>5</w:t>
      </w:r>
      <w:r w:rsidR="00177BA9" w:rsidRPr="00177BA9">
        <w:rPr>
          <w:rFonts w:ascii="FrankRuehl" w:hAnsi="FrankRuehl" w:cs="FrankRuehl"/>
          <w:sz w:val="28"/>
          <w:szCs w:val="28"/>
          <w:rtl/>
        </w:rPr>
        <w:t>% התובעת ו-7</w:t>
      </w:r>
      <w:r>
        <w:rPr>
          <w:rFonts w:ascii="FrankRuehl" w:hAnsi="FrankRuehl" w:cs="FrankRuehl" w:hint="cs"/>
          <w:sz w:val="28"/>
          <w:szCs w:val="28"/>
          <w:rtl/>
        </w:rPr>
        <w:t>5</w:t>
      </w:r>
      <w:r w:rsidR="00177BA9" w:rsidRPr="00177BA9">
        <w:rPr>
          <w:rFonts w:ascii="FrankRuehl" w:hAnsi="FrankRuehl" w:cs="FrankRuehl"/>
          <w:sz w:val="28"/>
          <w:szCs w:val="28"/>
          <w:rtl/>
        </w:rPr>
        <w:t xml:space="preserve">% הנתבע בהוצאות רפואיות </w:t>
      </w:r>
      <w:r w:rsidR="00177BA9" w:rsidRPr="00177BA9">
        <w:rPr>
          <w:rFonts w:ascii="FrankRuehl" w:hAnsi="FrankRuehl" w:cs="FrankRuehl"/>
          <w:sz w:val="28"/>
          <w:szCs w:val="28"/>
          <w:u w:val="single"/>
          <w:rtl/>
        </w:rPr>
        <w:t>חריגות</w:t>
      </w:r>
      <w:r w:rsidR="00177BA9" w:rsidRPr="00177BA9">
        <w:rPr>
          <w:rFonts w:ascii="FrankRuehl" w:hAnsi="FrankRuehl" w:cs="FrankRuehl"/>
          <w:sz w:val="28"/>
          <w:szCs w:val="28"/>
          <w:rtl/>
        </w:rPr>
        <w:t xml:space="preserve"> מכל מין וסוג שהוא, לרבות רפואת שיניים כולל אורתודנטיה, משקפיים/ע</w:t>
      </w:r>
      <w:r w:rsidR="009F0996">
        <w:rPr>
          <w:rFonts w:ascii="FrankRuehl" w:hAnsi="FrankRuehl" w:cs="FrankRuehl"/>
          <w:sz w:val="28"/>
          <w:szCs w:val="28"/>
          <w:rtl/>
        </w:rPr>
        <w:t>דשות מגע, טיפולים פסיכולוגיים</w:t>
      </w:r>
      <w:r w:rsidR="009F0996">
        <w:rPr>
          <w:rFonts w:ascii="FrankRuehl" w:hAnsi="FrankRuehl" w:cs="FrankRuehl" w:hint="cs"/>
          <w:sz w:val="28"/>
          <w:szCs w:val="28"/>
          <w:rtl/>
        </w:rPr>
        <w:t xml:space="preserve"> </w:t>
      </w:r>
      <w:r w:rsidR="009F0996">
        <w:rPr>
          <w:rFonts w:ascii="FrankRuehl" w:hAnsi="FrankRuehl" w:cs="FrankRuehl"/>
          <w:sz w:val="28"/>
          <w:szCs w:val="28"/>
          <w:rtl/>
        </w:rPr>
        <w:t>/</w:t>
      </w:r>
      <w:r w:rsidR="009F0996">
        <w:rPr>
          <w:rFonts w:ascii="FrankRuehl" w:hAnsi="FrankRuehl" w:cs="FrankRuehl" w:hint="cs"/>
          <w:sz w:val="28"/>
          <w:szCs w:val="28"/>
          <w:rtl/>
        </w:rPr>
        <w:t xml:space="preserve"> </w:t>
      </w:r>
      <w:r w:rsidR="009F0996">
        <w:rPr>
          <w:rFonts w:ascii="FrankRuehl" w:hAnsi="FrankRuehl" w:cs="FrankRuehl"/>
          <w:sz w:val="28"/>
          <w:szCs w:val="28"/>
          <w:rtl/>
        </w:rPr>
        <w:t>רגשיים, א</w:t>
      </w:r>
      <w:r w:rsidR="009F0996">
        <w:rPr>
          <w:rFonts w:ascii="FrankRuehl" w:hAnsi="FrankRuehl" w:cs="FrankRuehl" w:hint="cs"/>
          <w:sz w:val="28"/>
          <w:szCs w:val="28"/>
          <w:rtl/>
        </w:rPr>
        <w:t>ִ</w:t>
      </w:r>
      <w:r w:rsidR="00177BA9" w:rsidRPr="00177BA9">
        <w:rPr>
          <w:rFonts w:ascii="FrankRuehl" w:hAnsi="FrankRuehl" w:cs="FrankRuehl"/>
          <w:sz w:val="28"/>
          <w:szCs w:val="28"/>
          <w:rtl/>
        </w:rPr>
        <w:t>בחונים לרבות איבחוני ליקוי</w:t>
      </w:r>
      <w:r w:rsidR="009F0996">
        <w:rPr>
          <w:rFonts w:ascii="FrankRuehl" w:hAnsi="FrankRuehl" w:cs="FrankRuehl" w:hint="cs"/>
          <w:sz w:val="28"/>
          <w:szCs w:val="28"/>
          <w:rtl/>
        </w:rPr>
        <w:t>י</w:t>
      </w:r>
      <w:r w:rsidR="009F0996">
        <w:rPr>
          <w:rFonts w:ascii="FrankRuehl" w:hAnsi="FrankRuehl" w:cs="FrankRuehl"/>
          <w:sz w:val="28"/>
          <w:szCs w:val="28"/>
          <w:rtl/>
        </w:rPr>
        <w:t xml:space="preserve"> למידה</w:t>
      </w:r>
      <w:r w:rsidR="00177BA9" w:rsidRPr="00177BA9">
        <w:rPr>
          <w:rFonts w:ascii="FrankRuehl" w:hAnsi="FrankRuehl" w:cs="FrankRuehl"/>
          <w:sz w:val="28"/>
          <w:szCs w:val="28"/>
          <w:rtl/>
        </w:rPr>
        <w:t xml:space="preserve"> וכל הוצאה רפואית אחרת </w:t>
      </w:r>
      <w:r w:rsidR="00177BA9" w:rsidRPr="00177BA9">
        <w:rPr>
          <w:rFonts w:ascii="FrankRuehl" w:hAnsi="FrankRuehl" w:cs="FrankRuehl"/>
          <w:sz w:val="28"/>
          <w:szCs w:val="28"/>
          <w:u w:val="single"/>
          <w:rtl/>
        </w:rPr>
        <w:t>חריגה</w:t>
      </w:r>
      <w:r w:rsidR="00177BA9" w:rsidRPr="00177BA9">
        <w:rPr>
          <w:rFonts w:ascii="FrankRuehl" w:hAnsi="FrankRuehl" w:cs="FrankRuehl"/>
          <w:sz w:val="28"/>
          <w:szCs w:val="28"/>
          <w:rtl/>
        </w:rPr>
        <w:t xml:space="preserve"> אשר איננה מכוסה (במלואה או בחלקה) על ידי קופ"ח ובכלל זה הפרשים בגין אותה הוצאה חריגה לאחר קבלת החזר מכל מקור שהוא, אלא א</w:t>
      </w:r>
      <w:r w:rsidR="00632B79">
        <w:rPr>
          <w:rFonts w:ascii="FrankRuehl" w:hAnsi="FrankRuehl" w:cs="FrankRuehl" w:hint="cs"/>
          <w:sz w:val="28"/>
          <w:szCs w:val="28"/>
          <w:rtl/>
        </w:rPr>
        <w:t>ם</w:t>
      </w:r>
      <w:r w:rsidR="00177BA9" w:rsidRPr="00177BA9">
        <w:rPr>
          <w:rFonts w:ascii="FrankRuehl" w:hAnsi="FrankRuehl" w:cs="FrankRuehl"/>
          <w:sz w:val="28"/>
          <w:szCs w:val="28"/>
          <w:rtl/>
        </w:rPr>
        <w:t xml:space="preserve"> ההחזר מתקבל מביטוח פרטי הממומן ע"י הורה אחד בלבד שאז רק ההורה המממן זכאי להנות מהחזר זה. כל הוצאה רפואית תעשה על יסוד אסמכתא מגורם רלוונטי המאשר את נחיצותה, אשר תועבר מהורה אחד לשני בתקשורת מתועדת טרם הוצאת ההוצאה</w:t>
      </w:r>
      <w:r w:rsidR="009F0996">
        <w:rPr>
          <w:rFonts w:ascii="FrankRuehl" w:hAnsi="FrankRuehl" w:cs="FrankRuehl" w:hint="cs"/>
          <w:sz w:val="28"/>
          <w:szCs w:val="28"/>
          <w:rtl/>
        </w:rPr>
        <w:t xml:space="preserve"> </w:t>
      </w:r>
      <w:r w:rsidR="00177BA9" w:rsidRPr="00177BA9">
        <w:rPr>
          <w:rFonts w:ascii="FrankRuehl" w:hAnsi="FrankRuehl" w:cs="FrankRuehl"/>
          <w:sz w:val="28"/>
          <w:szCs w:val="28"/>
          <w:rtl/>
        </w:rPr>
        <w:t>/</w:t>
      </w:r>
      <w:r w:rsidR="009F0996">
        <w:rPr>
          <w:rFonts w:ascii="FrankRuehl" w:hAnsi="FrankRuehl" w:cs="FrankRuehl" w:hint="cs"/>
          <w:sz w:val="28"/>
          <w:szCs w:val="28"/>
          <w:rtl/>
        </w:rPr>
        <w:t xml:space="preserve"> </w:t>
      </w:r>
      <w:r w:rsidR="009F0996">
        <w:rPr>
          <w:rFonts w:ascii="FrankRuehl" w:hAnsi="FrankRuehl" w:cs="FrankRuehl"/>
          <w:sz w:val="28"/>
          <w:szCs w:val="28"/>
          <w:rtl/>
        </w:rPr>
        <w:t>קבלת הטיפול, על</w:t>
      </w:r>
      <w:r w:rsidR="009F0996">
        <w:rPr>
          <w:rFonts w:ascii="FrankRuehl" w:hAnsi="FrankRuehl" w:cs="FrankRuehl" w:hint="cs"/>
          <w:sz w:val="28"/>
          <w:szCs w:val="28"/>
          <w:rtl/>
        </w:rPr>
        <w:t>-</w:t>
      </w:r>
      <w:r w:rsidR="00177BA9" w:rsidRPr="00177BA9">
        <w:rPr>
          <w:rFonts w:ascii="FrankRuehl" w:hAnsi="FrankRuehl" w:cs="FrankRuehl"/>
          <w:sz w:val="28"/>
          <w:szCs w:val="28"/>
          <w:rtl/>
        </w:rPr>
        <w:t>מנת לאפשר להורה השני לבדוק האמור בתוך 10 ימים מיום משלוח האסמכתא.  </w:t>
      </w:r>
    </w:p>
    <w:p w:rsidR="00E16C9D" w:rsidRDefault="00E16C9D" w:rsidP="00E16C9D">
      <w:pPr>
        <w:spacing w:after="160" w:line="360" w:lineRule="auto"/>
        <w:ind w:left="1440" w:hanging="1015"/>
        <w:contextualSpacing/>
        <w:jc w:val="both"/>
        <w:rPr>
          <w:rFonts w:ascii="FrankRuehl" w:hAnsi="FrankRuehl" w:cs="FrankRuehl"/>
          <w:sz w:val="28"/>
          <w:szCs w:val="28"/>
          <w:rtl/>
        </w:rPr>
      </w:pPr>
      <w:r>
        <w:rPr>
          <w:rFonts w:ascii="FrankRuehl" w:hAnsi="FrankRuehl" w:cs="FrankRuehl"/>
          <w:sz w:val="28"/>
          <w:szCs w:val="28"/>
          <w:rtl/>
        </w:rPr>
        <w:t xml:space="preserve"> </w:t>
      </w:r>
    </w:p>
    <w:p w:rsidR="00E1717A" w:rsidRDefault="00E16C9D" w:rsidP="00A53573">
      <w:pPr>
        <w:spacing w:after="160" w:line="360" w:lineRule="auto"/>
        <w:ind w:left="1440" w:hanging="1015"/>
        <w:contextualSpacing/>
        <w:jc w:val="both"/>
        <w:rPr>
          <w:rFonts w:ascii="FrankRuehl" w:hAnsi="FrankRuehl" w:cs="FrankRuehl"/>
          <w:sz w:val="28"/>
          <w:szCs w:val="28"/>
          <w:rtl/>
        </w:rPr>
      </w:pPr>
      <w:r>
        <w:rPr>
          <w:rFonts w:ascii="FrankRuehl" w:hAnsi="FrankRuehl" w:cs="FrankRuehl" w:hint="cs"/>
          <w:sz w:val="28"/>
          <w:szCs w:val="28"/>
          <w:rtl/>
        </w:rPr>
        <w:t>43.6.</w:t>
      </w:r>
      <w:r>
        <w:rPr>
          <w:rFonts w:ascii="FrankRuehl" w:hAnsi="FrankRuehl" w:cs="FrankRuehl"/>
          <w:sz w:val="28"/>
          <w:szCs w:val="28"/>
          <w:rtl/>
        </w:rPr>
        <w:tab/>
      </w:r>
      <w:r w:rsidR="00A53573">
        <w:rPr>
          <w:rFonts w:ascii="FrankRuehl" w:hAnsi="FrankRuehl" w:cs="FrankRuehl" w:hint="cs"/>
          <w:sz w:val="28"/>
          <w:szCs w:val="28"/>
          <w:rtl/>
        </w:rPr>
        <w:t>מ</w:t>
      </w:r>
      <w:r w:rsidR="00177BA9" w:rsidRPr="00177BA9">
        <w:rPr>
          <w:rFonts w:ascii="FrankRuehl" w:hAnsi="FrankRuehl" w:cs="FrankRuehl"/>
          <w:sz w:val="28"/>
          <w:szCs w:val="28"/>
          <w:rtl/>
        </w:rPr>
        <w:t xml:space="preserve">מועד </w:t>
      </w:r>
      <w:r>
        <w:rPr>
          <w:rFonts w:ascii="FrankRuehl" w:hAnsi="FrankRuehl" w:cs="FrankRuehl" w:hint="cs"/>
          <w:sz w:val="28"/>
          <w:szCs w:val="28"/>
          <w:rtl/>
        </w:rPr>
        <w:t xml:space="preserve">פסק הדין </w:t>
      </w:r>
      <w:r w:rsidR="00A53573">
        <w:rPr>
          <w:rFonts w:ascii="FrankRuehl" w:hAnsi="FrankRuehl" w:cs="FrankRuehl"/>
          <w:sz w:val="28"/>
          <w:szCs w:val="28"/>
          <w:rtl/>
        </w:rPr>
        <w:t xml:space="preserve">יישאו הצדדים, בחלוקה </w:t>
      </w:r>
      <w:r w:rsidR="00177BA9" w:rsidRPr="00177BA9">
        <w:rPr>
          <w:rFonts w:ascii="FrankRuehl" w:hAnsi="FrankRuehl" w:cs="FrankRuehl"/>
          <w:sz w:val="28"/>
          <w:szCs w:val="28"/>
          <w:rtl/>
        </w:rPr>
        <w:t>שיעור 2</w:t>
      </w:r>
      <w:r>
        <w:rPr>
          <w:rFonts w:ascii="FrankRuehl" w:hAnsi="FrankRuehl" w:cs="FrankRuehl" w:hint="cs"/>
          <w:sz w:val="28"/>
          <w:szCs w:val="28"/>
          <w:rtl/>
        </w:rPr>
        <w:t>5</w:t>
      </w:r>
      <w:r w:rsidR="00177BA9" w:rsidRPr="00177BA9">
        <w:rPr>
          <w:rFonts w:ascii="FrankRuehl" w:hAnsi="FrankRuehl" w:cs="FrankRuehl"/>
          <w:sz w:val="28"/>
          <w:szCs w:val="28"/>
          <w:rtl/>
        </w:rPr>
        <w:t>% התובעת ו-7</w:t>
      </w:r>
      <w:r>
        <w:rPr>
          <w:rFonts w:ascii="FrankRuehl" w:hAnsi="FrankRuehl" w:cs="FrankRuehl" w:hint="cs"/>
          <w:sz w:val="28"/>
          <w:szCs w:val="28"/>
          <w:rtl/>
        </w:rPr>
        <w:t>5</w:t>
      </w:r>
      <w:r w:rsidR="00177BA9" w:rsidRPr="00177BA9">
        <w:rPr>
          <w:rFonts w:ascii="FrankRuehl" w:hAnsi="FrankRuehl" w:cs="FrankRuehl"/>
          <w:sz w:val="28"/>
          <w:szCs w:val="28"/>
          <w:rtl/>
        </w:rPr>
        <w:t>% הנתבע בהוצאות החינוך</w:t>
      </w:r>
      <w:r w:rsidR="00177BA9" w:rsidRPr="00177BA9">
        <w:rPr>
          <w:rFonts w:ascii="FrankRuehl" w:hAnsi="FrankRuehl" w:cs="FrankRuehl"/>
          <w:b/>
          <w:bCs/>
          <w:sz w:val="28"/>
          <w:szCs w:val="28"/>
          <w:rtl/>
        </w:rPr>
        <w:t xml:space="preserve"> כדלקמן</w:t>
      </w:r>
      <w:r w:rsidR="00177BA9" w:rsidRPr="00177BA9">
        <w:rPr>
          <w:rFonts w:ascii="FrankRuehl" w:hAnsi="FrankRuehl" w:cs="FrankRuehl"/>
          <w:sz w:val="28"/>
          <w:szCs w:val="28"/>
          <w:rtl/>
        </w:rPr>
        <w:t xml:space="preserve">: אגרות חינוך, שכר לימוד וכל תשלום אחר הנדרש לתשלום ישירות למערכת/מסגרת חינוכית לרבות ועד הורים, </w:t>
      </w:r>
      <w:r>
        <w:rPr>
          <w:rFonts w:ascii="FrankRuehl" w:hAnsi="FrankRuehl" w:cs="FrankRuehl" w:hint="cs"/>
          <w:sz w:val="28"/>
          <w:szCs w:val="28"/>
          <w:rtl/>
        </w:rPr>
        <w:t xml:space="preserve">2 </w:t>
      </w:r>
      <w:r w:rsidR="00177BA9" w:rsidRPr="00177BA9">
        <w:rPr>
          <w:rFonts w:ascii="FrankRuehl" w:hAnsi="FrankRuehl" w:cs="FrankRuehl"/>
          <w:sz w:val="28"/>
          <w:szCs w:val="28"/>
          <w:rtl/>
        </w:rPr>
        <w:t xml:space="preserve">חוגים, שיעורי עזר (ע"פ המלצת הגורם הרלוונטי), </w:t>
      </w:r>
      <w:r w:rsidR="00A53573">
        <w:rPr>
          <w:rFonts w:ascii="FrankRuehl" w:hAnsi="FrankRuehl" w:cs="FrankRuehl" w:hint="cs"/>
          <w:sz w:val="28"/>
          <w:szCs w:val="28"/>
          <w:rtl/>
        </w:rPr>
        <w:t xml:space="preserve">תנועת נוער </w:t>
      </w:r>
      <w:r w:rsidR="00177BA9" w:rsidRPr="00177BA9">
        <w:rPr>
          <w:rFonts w:ascii="FrankRuehl" w:hAnsi="FrankRuehl" w:cs="FrankRuehl"/>
          <w:sz w:val="28"/>
          <w:szCs w:val="28"/>
          <w:rtl/>
        </w:rPr>
        <w:t>ותוכנית מצויינות</w:t>
      </w:r>
      <w:r w:rsidR="00A53573">
        <w:rPr>
          <w:rFonts w:ascii="FrankRuehl" w:hAnsi="FrankRuehl" w:cs="FrankRuehl" w:hint="cs"/>
          <w:sz w:val="28"/>
          <w:szCs w:val="28"/>
          <w:rtl/>
        </w:rPr>
        <w:t xml:space="preserve">, </w:t>
      </w:r>
      <w:r w:rsidR="00177BA9" w:rsidRPr="00177BA9">
        <w:rPr>
          <w:rFonts w:ascii="FrankRuehl" w:hAnsi="FrankRuehl" w:cs="FrankRuehl"/>
          <w:sz w:val="28"/>
          <w:szCs w:val="28"/>
          <w:rtl/>
        </w:rPr>
        <w:t xml:space="preserve"> בקיזוז הטבה</w:t>
      </w:r>
      <w:r w:rsidR="00A53573">
        <w:rPr>
          <w:rFonts w:ascii="FrankRuehl" w:hAnsi="FrankRuehl" w:cs="FrankRuehl" w:hint="cs"/>
          <w:sz w:val="28"/>
          <w:szCs w:val="28"/>
          <w:rtl/>
        </w:rPr>
        <w:t>/</w:t>
      </w:r>
      <w:r>
        <w:rPr>
          <w:rFonts w:ascii="FrankRuehl" w:hAnsi="FrankRuehl" w:cs="FrankRuehl" w:hint="cs"/>
          <w:sz w:val="28"/>
          <w:szCs w:val="28"/>
          <w:rtl/>
        </w:rPr>
        <w:t xml:space="preserve"> הק</w:t>
      </w:r>
      <w:r w:rsidR="009F0996">
        <w:rPr>
          <w:rFonts w:ascii="FrankRuehl" w:hAnsi="FrankRuehl" w:cs="FrankRuehl" w:hint="cs"/>
          <w:sz w:val="28"/>
          <w:szCs w:val="28"/>
          <w:rtl/>
        </w:rPr>
        <w:t>ִ</w:t>
      </w:r>
      <w:r>
        <w:rPr>
          <w:rFonts w:ascii="FrankRuehl" w:hAnsi="FrankRuehl" w:cs="FrankRuehl" w:hint="cs"/>
          <w:sz w:val="28"/>
          <w:szCs w:val="28"/>
          <w:rtl/>
        </w:rPr>
        <w:t xml:space="preserve">צבה </w:t>
      </w:r>
      <w:r w:rsidR="00177BA9" w:rsidRPr="00177BA9">
        <w:rPr>
          <w:rFonts w:ascii="FrankRuehl" w:hAnsi="FrankRuehl" w:cs="FrankRuehl"/>
          <w:sz w:val="28"/>
          <w:szCs w:val="28"/>
          <w:rtl/>
        </w:rPr>
        <w:t>שת</w:t>
      </w:r>
      <w:r w:rsidR="00A53573">
        <w:rPr>
          <w:rFonts w:ascii="FrankRuehl" w:hAnsi="FrankRuehl" w:cs="FrankRuehl" w:hint="cs"/>
          <w:sz w:val="28"/>
          <w:szCs w:val="28"/>
          <w:rtl/>
        </w:rPr>
        <w:t xml:space="preserve">שולם </w:t>
      </w:r>
      <w:r w:rsidR="00177BA9" w:rsidRPr="00177BA9">
        <w:rPr>
          <w:rFonts w:ascii="FrankRuehl" w:hAnsi="FrankRuehl" w:cs="FrankRuehl"/>
          <w:sz w:val="28"/>
          <w:szCs w:val="28"/>
          <w:rtl/>
        </w:rPr>
        <w:t>מהמל"ל או מצד השלישי. הצדדים יישאו בעלות</w:t>
      </w:r>
      <w:r>
        <w:rPr>
          <w:rFonts w:ascii="FrankRuehl" w:hAnsi="FrankRuehl" w:cs="FrankRuehl" w:hint="cs"/>
          <w:sz w:val="28"/>
          <w:szCs w:val="28"/>
          <w:rtl/>
        </w:rPr>
        <w:t xml:space="preserve"> </w:t>
      </w:r>
      <w:r w:rsidR="00177BA9" w:rsidRPr="00177BA9">
        <w:rPr>
          <w:rFonts w:ascii="FrankRuehl" w:hAnsi="FrankRuehl" w:cs="FrankRuehl"/>
          <w:sz w:val="28"/>
          <w:szCs w:val="28"/>
          <w:rtl/>
        </w:rPr>
        <w:t>מחזור קייטנה אחת בחופשת הקיץ. בטרם רישום לקייטנה על הצדדים להסכים לעלותה</w:t>
      </w:r>
      <w:r w:rsidR="009F0996">
        <w:rPr>
          <w:rFonts w:ascii="FrankRuehl" w:hAnsi="FrankRuehl" w:cs="FrankRuehl" w:hint="cs"/>
          <w:sz w:val="28"/>
          <w:szCs w:val="28"/>
          <w:rtl/>
        </w:rPr>
        <w:t>ּ</w:t>
      </w:r>
      <w:r w:rsidR="00177BA9" w:rsidRPr="00177BA9">
        <w:rPr>
          <w:rFonts w:ascii="FrankRuehl" w:hAnsi="FrankRuehl" w:cs="FrankRuehl"/>
          <w:sz w:val="28"/>
          <w:szCs w:val="28"/>
          <w:rtl/>
        </w:rPr>
        <w:t xml:space="preserve"> של הקייטנה ובהעדר הסכמה התשלום יהא בהתאם לעלות קייטנה עירונית</w:t>
      </w:r>
      <w:r w:rsidR="009F0996">
        <w:rPr>
          <w:rFonts w:ascii="FrankRuehl" w:hAnsi="FrankRuehl" w:cs="FrankRuehl" w:hint="cs"/>
          <w:sz w:val="28"/>
          <w:szCs w:val="28"/>
          <w:rtl/>
        </w:rPr>
        <w:t xml:space="preserve"> </w:t>
      </w:r>
      <w:r w:rsidR="00177BA9" w:rsidRPr="00177BA9">
        <w:rPr>
          <w:rFonts w:ascii="FrankRuehl" w:hAnsi="FrankRuehl" w:cs="FrankRuehl"/>
          <w:sz w:val="28"/>
          <w:szCs w:val="28"/>
          <w:rtl/>
        </w:rPr>
        <w:t>/ מתנ"ס</w:t>
      </w:r>
      <w:r>
        <w:rPr>
          <w:rFonts w:ascii="FrankRuehl" w:hAnsi="FrankRuehl" w:cs="FrankRuehl" w:hint="cs"/>
          <w:sz w:val="28"/>
          <w:szCs w:val="28"/>
          <w:rtl/>
        </w:rPr>
        <w:t>.</w:t>
      </w:r>
    </w:p>
    <w:p w:rsidR="00E1717A" w:rsidRDefault="00E1717A" w:rsidP="00E1717A">
      <w:pPr>
        <w:spacing w:after="160" w:line="360" w:lineRule="auto"/>
        <w:ind w:left="1440" w:hanging="1015"/>
        <w:contextualSpacing/>
        <w:jc w:val="both"/>
        <w:rPr>
          <w:rFonts w:ascii="FrankRuehl" w:hAnsi="FrankRuehl" w:cs="FrankRuehl"/>
          <w:sz w:val="28"/>
          <w:szCs w:val="28"/>
          <w:rtl/>
        </w:rPr>
      </w:pPr>
    </w:p>
    <w:p w:rsidR="00E1717A" w:rsidRDefault="00632B79" w:rsidP="00632B79">
      <w:pPr>
        <w:spacing w:after="160" w:line="360" w:lineRule="auto"/>
        <w:ind w:left="1440" w:hanging="1015"/>
        <w:contextualSpacing/>
        <w:jc w:val="both"/>
        <w:rPr>
          <w:rFonts w:ascii="FrankRuehl" w:hAnsi="FrankRuehl" w:cs="FrankRuehl"/>
          <w:sz w:val="28"/>
          <w:szCs w:val="28"/>
          <w:rtl/>
        </w:rPr>
      </w:pPr>
      <w:r>
        <w:rPr>
          <w:rFonts w:ascii="FrankRuehl" w:hAnsi="FrankRuehl" w:cs="FrankRuehl" w:hint="cs"/>
          <w:sz w:val="28"/>
          <w:szCs w:val="28"/>
          <w:rtl/>
        </w:rPr>
        <w:t>43.7.</w:t>
      </w:r>
      <w:r>
        <w:rPr>
          <w:rFonts w:ascii="FrankRuehl" w:hAnsi="FrankRuehl" w:cs="FrankRuehl"/>
          <w:sz w:val="28"/>
          <w:szCs w:val="28"/>
          <w:rtl/>
        </w:rPr>
        <w:tab/>
      </w:r>
      <w:r w:rsidR="00177BA9" w:rsidRPr="00177BA9">
        <w:rPr>
          <w:rFonts w:ascii="FrankRuehl" w:hAnsi="FrankRuehl" w:cs="FrankRuehl"/>
          <w:sz w:val="28"/>
          <w:szCs w:val="28"/>
          <w:rtl/>
        </w:rPr>
        <w:t xml:space="preserve">הוצאה </w:t>
      </w:r>
      <w:r w:rsidR="00177BA9" w:rsidRPr="00177BA9">
        <w:rPr>
          <w:rFonts w:ascii="FrankRuehl" w:hAnsi="FrankRuehl" w:cs="FrankRuehl"/>
          <w:sz w:val="28"/>
          <w:szCs w:val="28"/>
          <w:u w:val="single"/>
          <w:rtl/>
        </w:rPr>
        <w:t>חריגה</w:t>
      </w:r>
      <w:r w:rsidR="00177BA9" w:rsidRPr="00177BA9">
        <w:rPr>
          <w:rFonts w:ascii="FrankRuehl" w:hAnsi="FrankRuehl" w:cs="FrankRuehl"/>
          <w:sz w:val="28"/>
          <w:szCs w:val="28"/>
          <w:rtl/>
        </w:rPr>
        <w:t xml:space="preserve"> אחרת שלא נכלל</w:t>
      </w:r>
      <w:r>
        <w:rPr>
          <w:rFonts w:ascii="FrankRuehl" w:hAnsi="FrankRuehl" w:cs="FrankRuehl" w:hint="cs"/>
          <w:sz w:val="28"/>
          <w:szCs w:val="28"/>
          <w:rtl/>
        </w:rPr>
        <w:t>ה</w:t>
      </w:r>
      <w:r w:rsidR="00177BA9" w:rsidRPr="00177BA9">
        <w:rPr>
          <w:rFonts w:ascii="FrankRuehl" w:hAnsi="FrankRuehl" w:cs="FrankRuehl"/>
          <w:sz w:val="28"/>
          <w:szCs w:val="28"/>
          <w:rtl/>
        </w:rPr>
        <w:t xml:space="preserve"> לעיל, יישאו בה ההורים בחלקים שווים </w:t>
      </w:r>
      <w:r w:rsidR="00177BA9" w:rsidRPr="00177BA9">
        <w:rPr>
          <w:rFonts w:ascii="FrankRuehl" w:hAnsi="FrankRuehl" w:cs="FrankRuehl"/>
          <w:b/>
          <w:bCs/>
          <w:sz w:val="28"/>
          <w:szCs w:val="28"/>
          <w:rtl/>
        </w:rPr>
        <w:t>ובלבד</w:t>
      </w:r>
      <w:r w:rsidR="00177BA9" w:rsidRPr="00177BA9">
        <w:rPr>
          <w:rFonts w:ascii="FrankRuehl" w:hAnsi="FrankRuehl" w:cs="FrankRuehl"/>
          <w:sz w:val="28"/>
          <w:szCs w:val="28"/>
          <w:rtl/>
        </w:rPr>
        <w:t xml:space="preserve"> ששני ההורים הסכימו להוצאה זו באופן מתועד (לרבות בתקשורת המתועדת).</w:t>
      </w:r>
    </w:p>
    <w:p w:rsidR="00E1717A" w:rsidRDefault="00E1717A" w:rsidP="00E1717A">
      <w:pPr>
        <w:spacing w:after="160" w:line="360" w:lineRule="auto"/>
        <w:ind w:left="1440" w:hanging="1015"/>
        <w:contextualSpacing/>
        <w:jc w:val="both"/>
        <w:rPr>
          <w:rFonts w:ascii="FrankRuehl" w:hAnsi="FrankRuehl" w:cs="FrankRuehl"/>
          <w:sz w:val="28"/>
          <w:szCs w:val="28"/>
          <w:rtl/>
        </w:rPr>
      </w:pPr>
    </w:p>
    <w:p w:rsidR="00E1717A" w:rsidRDefault="00E1717A" w:rsidP="00A53573">
      <w:pPr>
        <w:spacing w:after="160" w:line="360" w:lineRule="auto"/>
        <w:ind w:left="1440" w:hanging="1015"/>
        <w:contextualSpacing/>
        <w:jc w:val="both"/>
        <w:rPr>
          <w:rFonts w:ascii="FrankRuehl" w:hAnsi="FrankRuehl" w:cs="FrankRuehl"/>
          <w:sz w:val="28"/>
          <w:szCs w:val="28"/>
          <w:rtl/>
        </w:rPr>
      </w:pPr>
      <w:r>
        <w:rPr>
          <w:rFonts w:ascii="FrankRuehl" w:hAnsi="FrankRuehl" w:cs="FrankRuehl" w:hint="cs"/>
          <w:sz w:val="28"/>
          <w:szCs w:val="28"/>
          <w:rtl/>
        </w:rPr>
        <w:t>43.8.</w:t>
      </w:r>
      <w:r>
        <w:rPr>
          <w:rFonts w:ascii="FrankRuehl" w:hAnsi="FrankRuehl" w:cs="FrankRuehl" w:hint="cs"/>
          <w:sz w:val="28"/>
          <w:szCs w:val="28"/>
          <w:rtl/>
        </w:rPr>
        <w:tab/>
      </w:r>
      <w:r w:rsidR="00177BA9" w:rsidRPr="00177BA9">
        <w:rPr>
          <w:rFonts w:ascii="FrankRuehl" w:hAnsi="FrankRuehl" w:cs="FrankRuehl"/>
          <w:sz w:val="28"/>
          <w:szCs w:val="28"/>
          <w:rtl/>
        </w:rPr>
        <w:t xml:space="preserve">הורה </w:t>
      </w:r>
      <w:r w:rsidR="00860F40">
        <w:rPr>
          <w:rFonts w:ascii="FrankRuehl" w:hAnsi="FrankRuehl" w:cs="FrankRuehl" w:hint="cs"/>
          <w:sz w:val="28"/>
          <w:szCs w:val="28"/>
          <w:rtl/>
        </w:rPr>
        <w:t>ששילם ס</w:t>
      </w:r>
      <w:r w:rsidR="00177BA9" w:rsidRPr="00177BA9">
        <w:rPr>
          <w:rFonts w:ascii="FrankRuehl" w:hAnsi="FrankRuehl" w:cs="FrankRuehl"/>
          <w:sz w:val="28"/>
          <w:szCs w:val="28"/>
          <w:rtl/>
        </w:rPr>
        <w:t>כום העולה על חלקו בגין ההוצאות לעיל ("ההורה המשלם") י</w:t>
      </w:r>
      <w:r w:rsidR="00860F40">
        <w:rPr>
          <w:rFonts w:ascii="FrankRuehl" w:hAnsi="FrankRuehl" w:cs="FrankRuehl" w:hint="cs"/>
          <w:sz w:val="28"/>
          <w:szCs w:val="28"/>
          <w:rtl/>
        </w:rPr>
        <w:t>ש</w:t>
      </w:r>
      <w:r w:rsidR="00A53573">
        <w:rPr>
          <w:rFonts w:ascii="FrankRuehl" w:hAnsi="FrankRuehl" w:cs="FrankRuehl" w:hint="cs"/>
          <w:sz w:val="28"/>
          <w:szCs w:val="28"/>
          <w:rtl/>
        </w:rPr>
        <w:t xml:space="preserve">יב </w:t>
      </w:r>
      <w:r w:rsidR="00860F40">
        <w:rPr>
          <w:rFonts w:ascii="FrankRuehl" w:hAnsi="FrankRuehl" w:cs="FrankRuehl" w:hint="cs"/>
          <w:sz w:val="28"/>
          <w:szCs w:val="28"/>
          <w:rtl/>
        </w:rPr>
        <w:t>ה</w:t>
      </w:r>
      <w:r w:rsidR="00177BA9" w:rsidRPr="00177BA9">
        <w:rPr>
          <w:rFonts w:ascii="FrankRuehl" w:hAnsi="FrankRuehl" w:cs="FrankRuehl"/>
          <w:sz w:val="28"/>
          <w:szCs w:val="28"/>
          <w:rtl/>
        </w:rPr>
        <w:t xml:space="preserve">הורה השני ("ההורה החייב") את חלקו, בתוך 10 ימים מיום שההורה המשלם שלח להורה החייב בתקשורת המתועדת דרישה בצירוף האסמכתא הרלוונטית על התשלום הנדרש, ובתנאי שהמשלוח ייעשה לא יאוחר מחצי שנה לאחר ההוצאה. לחילופין רשאי ההורה החייב להודיע </w:t>
      </w:r>
      <w:r w:rsidR="009F0996">
        <w:rPr>
          <w:rFonts w:ascii="FrankRuehl" w:hAnsi="FrankRuehl" w:cs="FrankRuehl" w:hint="cs"/>
          <w:sz w:val="28"/>
          <w:szCs w:val="28"/>
          <w:rtl/>
        </w:rPr>
        <w:t>להורה השני</w:t>
      </w:r>
      <w:r w:rsidR="00177BA9" w:rsidRPr="00177BA9">
        <w:rPr>
          <w:rFonts w:ascii="FrankRuehl" w:hAnsi="FrankRuehl" w:cs="FrankRuehl"/>
          <w:sz w:val="28"/>
          <w:szCs w:val="28"/>
          <w:rtl/>
        </w:rPr>
        <w:t xml:space="preserve"> בתקשורת המתועדת בתוך עשרת הימים דלעיל, כי הוא ישלם את</w:t>
      </w:r>
      <w:r w:rsidR="009F0996">
        <w:rPr>
          <w:rFonts w:ascii="FrankRuehl" w:hAnsi="FrankRuehl" w:cs="FrankRuehl"/>
          <w:sz w:val="28"/>
          <w:szCs w:val="28"/>
          <w:rtl/>
        </w:rPr>
        <w:t xml:space="preserve"> חלקו ישירות לגורם נותן השירות.</w:t>
      </w:r>
    </w:p>
    <w:p w:rsidR="00E1717A" w:rsidRDefault="00E1717A" w:rsidP="00E1717A">
      <w:pPr>
        <w:spacing w:after="160" w:line="360" w:lineRule="auto"/>
        <w:ind w:left="1440" w:hanging="1015"/>
        <w:contextualSpacing/>
        <w:jc w:val="both"/>
        <w:rPr>
          <w:rFonts w:ascii="FrankRuehl" w:hAnsi="FrankRuehl" w:cs="FrankRuehl"/>
          <w:sz w:val="28"/>
          <w:szCs w:val="28"/>
          <w:rtl/>
        </w:rPr>
      </w:pPr>
    </w:p>
    <w:p w:rsidR="00E1717A" w:rsidRDefault="00E1717A" w:rsidP="009F0996">
      <w:pPr>
        <w:spacing w:after="160" w:line="360" w:lineRule="auto"/>
        <w:ind w:left="1440" w:hanging="1015"/>
        <w:contextualSpacing/>
        <w:jc w:val="both"/>
        <w:rPr>
          <w:rFonts w:ascii="FrankRuehl" w:hAnsi="FrankRuehl" w:cs="FrankRuehl"/>
          <w:b/>
          <w:bCs/>
          <w:sz w:val="28"/>
          <w:szCs w:val="28"/>
          <w:u w:val="single"/>
          <w:rtl/>
        </w:rPr>
      </w:pPr>
      <w:r>
        <w:rPr>
          <w:rFonts w:ascii="FrankRuehl" w:hAnsi="FrankRuehl" w:cs="FrankRuehl" w:hint="cs"/>
          <w:sz w:val="28"/>
          <w:szCs w:val="28"/>
          <w:rtl/>
        </w:rPr>
        <w:t>43.9.</w:t>
      </w:r>
      <w:r>
        <w:rPr>
          <w:rFonts w:ascii="FrankRuehl" w:hAnsi="FrankRuehl" w:cs="FrankRuehl" w:hint="cs"/>
          <w:sz w:val="28"/>
          <w:szCs w:val="28"/>
          <w:rtl/>
        </w:rPr>
        <w:tab/>
      </w:r>
      <w:r w:rsidR="00177BA9" w:rsidRPr="00177BA9">
        <w:rPr>
          <w:rFonts w:ascii="FrankRuehl" w:hAnsi="FrankRuehl" w:cs="FrankRuehl"/>
          <w:sz w:val="28"/>
          <w:szCs w:val="28"/>
          <w:rtl/>
        </w:rPr>
        <w:t xml:space="preserve">כל הודעה ו/או מידע לרבות מסמכים, בכל הקשור לחיובי המזונות, שעל הורה אחד להעביר להורה השני, יועבר באחד מאופני התקשורת הבאים - להלן: </w:t>
      </w:r>
      <w:r w:rsidR="00177BA9" w:rsidRPr="00177BA9">
        <w:rPr>
          <w:rFonts w:ascii="FrankRuehl" w:hAnsi="FrankRuehl" w:cs="FrankRuehl"/>
          <w:b/>
          <w:bCs/>
          <w:sz w:val="28"/>
          <w:szCs w:val="28"/>
          <w:rtl/>
        </w:rPr>
        <w:t>"תקשורת מתועדת"</w:t>
      </w:r>
      <w:r w:rsidR="00177BA9" w:rsidRPr="00177BA9">
        <w:rPr>
          <w:rFonts w:ascii="FrankRuehl" w:hAnsi="FrankRuehl" w:cs="FrankRuehl"/>
          <w:sz w:val="28"/>
          <w:szCs w:val="28"/>
          <w:rtl/>
        </w:rPr>
        <w:t xml:space="preserve">: </w:t>
      </w:r>
      <w:r w:rsidR="009F0996">
        <w:rPr>
          <w:rFonts w:ascii="FrankRuehl" w:hAnsi="FrankRuehl" w:cs="FrankRuehl" w:hint="cs"/>
          <w:sz w:val="28"/>
          <w:szCs w:val="28"/>
          <w:rtl/>
        </w:rPr>
        <w:t>דוא"ל</w:t>
      </w:r>
      <w:r w:rsidR="00177BA9" w:rsidRPr="009F0996">
        <w:rPr>
          <w:rFonts w:ascii="FrankRuehl" w:hAnsi="FrankRuehl" w:cs="FrankRuehl"/>
          <w:sz w:val="28"/>
          <w:szCs w:val="28"/>
          <w:rtl/>
        </w:rPr>
        <w:t xml:space="preserve"> / </w:t>
      </w:r>
      <w:r w:rsidR="009F0996">
        <w:rPr>
          <w:rFonts w:ascii="FrankRuehl" w:hAnsi="FrankRuehl" w:cs="FrankRuehl" w:hint="cs"/>
          <w:sz w:val="28"/>
          <w:szCs w:val="28"/>
          <w:rtl/>
        </w:rPr>
        <w:t xml:space="preserve">תקשורת סלולרית </w:t>
      </w:r>
      <w:r w:rsidR="009F0996" w:rsidRPr="009F0996">
        <w:rPr>
          <w:rFonts w:ascii="FrankRuehl" w:hAnsi="FrankRuehl" w:cs="FrankRuehl"/>
          <w:sz w:val="28"/>
          <w:szCs w:val="28"/>
          <w:rtl/>
        </w:rPr>
        <w:t xml:space="preserve">(כגון: </w:t>
      </w:r>
      <w:r w:rsidR="009F0996" w:rsidRPr="009F0996">
        <w:rPr>
          <w:rFonts w:ascii="FrankRuehl" w:hAnsi="FrankRuehl" w:cs="FrankRuehl"/>
        </w:rPr>
        <w:t>WhatsApp</w:t>
      </w:r>
      <w:r w:rsidR="009F0996" w:rsidRPr="009F0996">
        <w:rPr>
          <w:rFonts w:ascii="FrankRuehl" w:hAnsi="FrankRuehl" w:cs="FrankRuehl"/>
          <w:sz w:val="28"/>
          <w:szCs w:val="28"/>
          <w:rtl/>
        </w:rPr>
        <w:t>)</w:t>
      </w:r>
      <w:r w:rsidR="009F0996" w:rsidRPr="009F0996">
        <w:rPr>
          <w:rFonts w:ascii="FrankRuehl" w:hAnsi="FrankRuehl" w:cs="FrankRuehl" w:hint="cs"/>
          <w:sz w:val="28"/>
          <w:szCs w:val="28"/>
          <w:rtl/>
        </w:rPr>
        <w:t xml:space="preserve"> /</w:t>
      </w:r>
      <w:r w:rsidR="009F0996" w:rsidRPr="009F0996">
        <w:rPr>
          <w:rFonts w:ascii="FrankRuehl" w:hAnsi="FrankRuehl" w:cs="FrankRuehl"/>
          <w:sz w:val="28"/>
          <w:szCs w:val="28"/>
          <w:rtl/>
        </w:rPr>
        <w:t xml:space="preserve"> </w:t>
      </w:r>
      <w:r w:rsidR="00177BA9" w:rsidRPr="009F0996">
        <w:rPr>
          <w:rFonts w:ascii="FrankRuehl" w:hAnsi="FrankRuehl" w:cs="FrankRuehl"/>
          <w:sz w:val="28"/>
          <w:szCs w:val="28"/>
          <w:rtl/>
        </w:rPr>
        <w:t>דואר רשום,</w:t>
      </w:r>
      <w:r w:rsidR="00177BA9" w:rsidRPr="00177BA9">
        <w:rPr>
          <w:rFonts w:ascii="FrankRuehl" w:hAnsi="FrankRuehl" w:cs="FrankRuehl"/>
          <w:sz w:val="28"/>
          <w:szCs w:val="28"/>
          <w:rtl/>
        </w:rPr>
        <w:t xml:space="preserve"> כאשר ההורה השולח איננו מחוייב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E1717A" w:rsidRPr="00E1717A" w:rsidRDefault="00E1717A" w:rsidP="00E1717A">
      <w:pPr>
        <w:spacing w:after="160" w:line="360" w:lineRule="auto"/>
        <w:ind w:left="1440" w:hanging="1015"/>
        <w:contextualSpacing/>
        <w:jc w:val="both"/>
        <w:rPr>
          <w:rFonts w:ascii="FrankRuehl" w:hAnsi="FrankRuehl" w:cs="FrankRuehl"/>
          <w:sz w:val="28"/>
          <w:szCs w:val="28"/>
          <w:u w:val="single"/>
          <w:rtl/>
        </w:rPr>
      </w:pPr>
    </w:p>
    <w:p w:rsidR="00177BA9" w:rsidRPr="00177BA9" w:rsidRDefault="00E1717A" w:rsidP="009F0996">
      <w:pPr>
        <w:spacing w:after="160" w:line="360" w:lineRule="auto"/>
        <w:ind w:left="1440" w:hanging="1015"/>
        <w:contextualSpacing/>
        <w:jc w:val="both"/>
        <w:rPr>
          <w:rFonts w:ascii="FrankRuehl" w:hAnsi="FrankRuehl" w:cs="FrankRuehl"/>
          <w:sz w:val="28"/>
          <w:szCs w:val="28"/>
          <w:rtl/>
        </w:rPr>
      </w:pPr>
      <w:r w:rsidRPr="00E1717A">
        <w:rPr>
          <w:rFonts w:ascii="FrankRuehl" w:hAnsi="FrankRuehl" w:cs="FrankRuehl" w:hint="cs"/>
          <w:sz w:val="28"/>
          <w:szCs w:val="28"/>
          <w:rtl/>
        </w:rPr>
        <w:t>43.10.</w:t>
      </w:r>
      <w:r w:rsidRPr="00E1717A">
        <w:rPr>
          <w:rFonts w:ascii="FrankRuehl" w:hAnsi="FrankRuehl" w:cs="FrankRuehl" w:hint="cs"/>
          <w:sz w:val="28"/>
          <w:szCs w:val="28"/>
          <w:rtl/>
        </w:rPr>
        <w:tab/>
      </w:r>
      <w:r w:rsidR="00177BA9" w:rsidRPr="00E1717A">
        <w:rPr>
          <w:rFonts w:ascii="FrankRuehl" w:hAnsi="FrankRuehl" w:cs="FrankRuehl"/>
          <w:sz w:val="28"/>
          <w:szCs w:val="28"/>
          <w:u w:val="single"/>
          <w:rtl/>
        </w:rPr>
        <w:t>חוב עבר</w:t>
      </w:r>
      <w:r w:rsidR="00177BA9" w:rsidRPr="00E1717A">
        <w:rPr>
          <w:rFonts w:ascii="FrankRuehl" w:hAnsi="FrankRuehl" w:cs="FrankRuehl"/>
          <w:sz w:val="28"/>
          <w:szCs w:val="28"/>
          <w:rtl/>
        </w:rPr>
        <w:t xml:space="preserve"> </w:t>
      </w:r>
      <w:r w:rsidR="009F0996">
        <w:rPr>
          <w:rFonts w:ascii="FrankRuehl" w:hAnsi="FrankRuehl" w:cs="FrankRuehl" w:hint="cs"/>
          <w:sz w:val="28"/>
          <w:szCs w:val="28"/>
          <w:rtl/>
        </w:rPr>
        <w:t>-</w:t>
      </w:r>
      <w:r w:rsidR="00177BA9" w:rsidRPr="00E1717A">
        <w:rPr>
          <w:rFonts w:ascii="FrankRuehl" w:hAnsi="FrankRuehl" w:cs="FrankRuehl"/>
          <w:sz w:val="28"/>
          <w:szCs w:val="28"/>
          <w:rtl/>
        </w:rPr>
        <w:t xml:space="preserve"> ממועד הגשת התביעה ועד למועד פסה"ד, ככול ששולמו מזונות זמניים </w:t>
      </w:r>
      <w:r w:rsidR="00177BA9" w:rsidRPr="00177BA9">
        <w:rPr>
          <w:rFonts w:ascii="FrankRuehl" w:hAnsi="FrankRuehl" w:cs="FrankRuehl"/>
          <w:sz w:val="28"/>
          <w:szCs w:val="28"/>
          <w:rtl/>
        </w:rPr>
        <w:t xml:space="preserve">ביתר המזונות לא יושבו וככול שקים חוב עבר לחובת הנתבע, ישולם חוב העבר בתשלומים חודשיים שווים </w:t>
      </w:r>
      <w:r>
        <w:rPr>
          <w:rFonts w:ascii="FrankRuehl" w:hAnsi="FrankRuehl" w:cs="FrankRuehl" w:hint="cs"/>
          <w:sz w:val="28"/>
          <w:szCs w:val="28"/>
          <w:rtl/>
        </w:rPr>
        <w:t>ב</w:t>
      </w:r>
      <w:r w:rsidR="00177BA9" w:rsidRPr="00177BA9">
        <w:rPr>
          <w:rFonts w:ascii="FrankRuehl" w:hAnsi="FrankRuehl" w:cs="FrankRuehl"/>
          <w:sz w:val="28"/>
          <w:szCs w:val="28"/>
          <w:rtl/>
        </w:rPr>
        <w:t xml:space="preserve">סך </w:t>
      </w:r>
      <w:r>
        <w:rPr>
          <w:rFonts w:ascii="FrankRuehl" w:hAnsi="FrankRuehl" w:cs="FrankRuehl" w:hint="cs"/>
          <w:sz w:val="28"/>
          <w:szCs w:val="28"/>
          <w:rtl/>
        </w:rPr>
        <w:t>2</w:t>
      </w:r>
      <w:r w:rsidR="00177BA9" w:rsidRPr="00177BA9">
        <w:rPr>
          <w:rFonts w:ascii="FrankRuehl" w:hAnsi="FrankRuehl" w:cs="FrankRuehl"/>
          <w:sz w:val="28"/>
          <w:szCs w:val="28"/>
          <w:rtl/>
        </w:rPr>
        <w:t xml:space="preserve">00 ₪ </w:t>
      </w:r>
      <w:r w:rsidR="009F0996">
        <w:rPr>
          <w:rFonts w:ascii="FrankRuehl" w:hAnsi="FrankRuehl" w:cs="FrankRuehl"/>
          <w:sz w:val="28"/>
          <w:szCs w:val="28"/>
          <w:rtl/>
        </w:rPr>
        <w:t>לחודש עד לפירעון מלוא חוב העבר.</w:t>
      </w:r>
    </w:p>
    <w:p w:rsidR="00177BA9" w:rsidRPr="00177BA9" w:rsidRDefault="00177BA9" w:rsidP="003F5709">
      <w:pPr>
        <w:spacing w:line="360" w:lineRule="auto"/>
        <w:ind w:left="651" w:hanging="283"/>
        <w:jc w:val="both"/>
        <w:rPr>
          <w:rFonts w:ascii="FrankRuehl" w:hAnsi="FrankRuehl" w:cs="FrankRuehl"/>
          <w:sz w:val="28"/>
          <w:szCs w:val="28"/>
          <w:rtl/>
        </w:rPr>
      </w:pPr>
    </w:p>
    <w:p w:rsidR="00177BA9" w:rsidRDefault="00633A53" w:rsidP="00DF5E91">
      <w:pPr>
        <w:spacing w:after="160" w:line="360" w:lineRule="auto"/>
        <w:ind w:left="425" w:hanging="425"/>
        <w:contextualSpacing/>
        <w:jc w:val="both"/>
        <w:rPr>
          <w:rFonts w:ascii="FrankRuehl" w:hAnsi="FrankRuehl" w:cs="FrankRuehl"/>
          <w:b/>
          <w:bCs/>
          <w:color w:val="000000"/>
          <w:sz w:val="28"/>
          <w:szCs w:val="28"/>
          <w:u w:val="single"/>
          <w:rtl/>
        </w:rPr>
      </w:pPr>
      <w:r w:rsidRPr="00633A53">
        <w:rPr>
          <w:rFonts w:ascii="FrankRuehl" w:hAnsi="FrankRuehl" w:cs="FrankRuehl" w:hint="cs"/>
          <w:b/>
          <w:bCs/>
          <w:color w:val="000000"/>
          <w:sz w:val="28"/>
          <w:szCs w:val="28"/>
          <w:u w:val="single"/>
          <w:rtl/>
        </w:rPr>
        <w:t>מותר לפרסום בהשמטת פרטים מזהים, תיקוני הגהה ועריכה</w:t>
      </w:r>
      <w:r w:rsidRPr="009F0996">
        <w:rPr>
          <w:rFonts w:ascii="FrankRuehl" w:hAnsi="FrankRuehl" w:cs="FrankRuehl" w:hint="cs"/>
          <w:b/>
          <w:bCs/>
          <w:color w:val="000000"/>
          <w:sz w:val="28"/>
          <w:szCs w:val="28"/>
          <w:rtl/>
        </w:rPr>
        <w:t>.</w:t>
      </w:r>
    </w:p>
    <w:p w:rsidR="00633A53" w:rsidRDefault="00633A53" w:rsidP="00DF5E91">
      <w:pPr>
        <w:spacing w:after="160" w:line="360" w:lineRule="auto"/>
        <w:ind w:left="425" w:hanging="425"/>
        <w:contextualSpacing/>
        <w:jc w:val="both"/>
        <w:rPr>
          <w:rFonts w:ascii="FrankRuehl" w:hAnsi="FrankRuehl" w:cs="FrankRuehl"/>
          <w:b/>
          <w:bCs/>
          <w:color w:val="000000"/>
          <w:sz w:val="28"/>
          <w:szCs w:val="28"/>
          <w:rtl/>
        </w:rPr>
      </w:pPr>
      <w:r w:rsidRPr="00633A53">
        <w:rPr>
          <w:rFonts w:ascii="FrankRuehl" w:hAnsi="FrankRuehl" w:cs="FrankRuehl" w:hint="cs"/>
          <w:b/>
          <w:bCs/>
          <w:color w:val="000000"/>
          <w:sz w:val="28"/>
          <w:szCs w:val="28"/>
          <w:u w:val="single"/>
          <w:rtl/>
        </w:rPr>
        <w:t>המזכירות תמציא לצדדים ותסגור ההליך</w:t>
      </w:r>
      <w:r w:rsidRPr="009F0996">
        <w:rPr>
          <w:rFonts w:ascii="FrankRuehl" w:hAnsi="FrankRuehl" w:cs="FrankRuehl" w:hint="cs"/>
          <w:b/>
          <w:bCs/>
          <w:color w:val="000000"/>
          <w:sz w:val="28"/>
          <w:szCs w:val="28"/>
          <w:rtl/>
        </w:rPr>
        <w:t>.</w:t>
      </w:r>
    </w:p>
    <w:p w:rsidR="00694556" w:rsidRPr="00177BA9" w:rsidRDefault="00005C8B">
      <w:pPr>
        <w:spacing w:line="360" w:lineRule="auto"/>
        <w:jc w:val="both"/>
        <w:rPr>
          <w:rFonts w:ascii="FrankRuehl" w:hAnsi="FrankRuehl" w:cs="FrankRuehl"/>
          <w:noProof w:val="0"/>
          <w:sz w:val="28"/>
          <w:szCs w:val="28"/>
          <w:rtl/>
        </w:rPr>
      </w:pPr>
      <w:r w:rsidRPr="00177BA9">
        <w:rPr>
          <w:rFonts w:ascii="FrankRuehl" w:hAnsi="FrankRuehl" w:cs="FrankRuehl"/>
          <w:noProof w:val="0"/>
          <w:sz w:val="28"/>
          <w:szCs w:val="28"/>
          <w:rtl/>
        </w:rPr>
        <w:t xml:space="preserve">ניתן היום,  </w:t>
      </w:r>
      <w:sdt>
        <w:sdtPr>
          <w:rPr>
            <w:rFonts w:ascii="FrankRuehl" w:hAnsi="FrankRuehl" w:cs="FrankRuehl"/>
            <w:sz w:val="28"/>
            <w:szCs w:val="28"/>
            <w:rtl/>
          </w:rPr>
          <w:alias w:val="1455"/>
          <w:tag w:val="1455"/>
          <w:id w:val="242217728"/>
          <w:text w:multiLine="1"/>
        </w:sdtPr>
        <w:sdtEndPr/>
        <w:sdtContent>
          <w:r>
            <w:rPr>
              <w:rFonts w:ascii="FrankRuehl" w:hAnsi="FrankRuehl" w:cs="FrankRuehl"/>
              <w:noProof w:val="0"/>
              <w:sz w:val="28"/>
              <w:szCs w:val="28"/>
              <w:rtl/>
            </w:rPr>
            <w:t>י"ח סיוון תשפ"ג</w:t>
          </w:r>
        </w:sdtContent>
      </w:sdt>
      <w:r w:rsidRPr="00177BA9">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01635932"/>
          <w:text w:multiLine="1"/>
        </w:sdtPr>
        <w:sdtEndPr/>
        <w:sdtContent>
          <w:r>
            <w:rPr>
              <w:rFonts w:ascii="FrankRuehl" w:hAnsi="FrankRuehl" w:cs="FrankRuehl"/>
              <w:noProof w:val="0"/>
              <w:sz w:val="28"/>
              <w:szCs w:val="28"/>
              <w:rtl/>
            </w:rPr>
            <w:t>07 יוני 2023</w:t>
          </w:r>
        </w:sdtContent>
      </w:sdt>
      <w:r w:rsidRPr="00177BA9">
        <w:rPr>
          <w:rFonts w:ascii="FrankRuehl" w:hAnsi="FrankRuehl" w:cs="FrankRuehl"/>
          <w:noProof w:val="0"/>
          <w:sz w:val="28"/>
          <w:szCs w:val="28"/>
          <w:rtl/>
        </w:rPr>
        <w:t>, בהעדר הצדדים.</w:t>
      </w:r>
    </w:p>
    <w:p w:rsidR="005B0F49" w:rsidRPr="00177BA9" w:rsidRDefault="005B0F49" w:rsidP="00633C4F">
      <w:pPr>
        <w:spacing w:line="360" w:lineRule="auto"/>
        <w:jc w:val="both"/>
        <w:rPr>
          <w:rFonts w:ascii="FrankRuehl" w:hAnsi="FrankRuehl" w:cs="FrankRuehl"/>
          <w:noProof w:val="0"/>
          <w:sz w:val="28"/>
          <w:szCs w:val="28"/>
          <w:rtl/>
        </w:rPr>
      </w:pPr>
      <w:r w:rsidRPr="00177BA9">
        <w:rPr>
          <w:rFonts w:ascii="FrankRuehl" w:hAnsi="FrankRuehl" w:cs="FrankRuehl"/>
          <w:noProof w:val="0"/>
          <w:sz w:val="28"/>
          <w:szCs w:val="28"/>
          <w:rtl/>
        </w:rPr>
        <w:tab/>
      </w:r>
      <w:r w:rsidRPr="00177BA9">
        <w:rPr>
          <w:rFonts w:ascii="FrankRuehl" w:hAnsi="FrankRuehl" w:cs="FrankRuehl"/>
          <w:noProof w:val="0"/>
          <w:sz w:val="28"/>
          <w:szCs w:val="28"/>
          <w:rtl/>
        </w:rPr>
        <w:tab/>
      </w:r>
      <w:r w:rsidRPr="00177BA9">
        <w:rPr>
          <w:rFonts w:ascii="FrankRuehl" w:hAnsi="FrankRuehl" w:cs="FrankRuehl"/>
          <w:noProof w:val="0"/>
          <w:sz w:val="28"/>
          <w:szCs w:val="28"/>
          <w:rtl/>
        </w:rPr>
        <w:tab/>
      </w:r>
      <w:r w:rsidRPr="00177BA9">
        <w:rPr>
          <w:rFonts w:ascii="FrankRuehl" w:hAnsi="FrankRuehl" w:cs="FrankRuehl"/>
          <w:noProof w:val="0"/>
          <w:sz w:val="28"/>
          <w:szCs w:val="28"/>
          <w:rtl/>
        </w:rPr>
        <w:tab/>
      </w:r>
      <w:r w:rsidRPr="00177BA9">
        <w:rPr>
          <w:rFonts w:ascii="FrankRuehl" w:hAnsi="FrankRuehl" w:cs="FrankRuehl"/>
          <w:noProof w:val="0"/>
          <w:sz w:val="28"/>
          <w:szCs w:val="28"/>
          <w:rtl/>
        </w:rPr>
        <w:tab/>
      </w:r>
      <w:r w:rsidR="00633C4F" w:rsidRPr="00177BA9">
        <w:rPr>
          <w:rFonts w:ascii="FrankRuehl" w:hAnsi="FrankRuehl" w:cs="FrankRuehl"/>
          <w:noProof w:val="0"/>
          <w:sz w:val="28"/>
          <w:szCs w:val="28"/>
          <w:rtl/>
        </w:rPr>
        <w:tab/>
      </w:r>
      <w:sdt>
        <w:sdtPr>
          <w:rPr>
            <w:rFonts w:ascii="FrankRuehl" w:hAnsi="FrankRuehl" w:cs="FrankRuehl"/>
            <w:noProof w:val="0"/>
            <w:sz w:val="28"/>
            <w:szCs w:val="28"/>
            <w:rtl/>
          </w:rPr>
          <w:alias w:val="2045"/>
          <w:tag w:val="2045"/>
          <w:id w:val="1736736771"/>
          <w:placeholder>
            <w:docPart w:val="03459962B6984C23A2D5882F7D086C2E"/>
          </w:placeholder>
          <w:showingPlcHdr/>
          <w:text w:multiLine="1"/>
        </w:sdtPr>
        <w:sdtEndPr/>
        <w:sdtContent/>
      </w:sdt>
      <w:r w:rsidRPr="00177BA9">
        <w:rPr>
          <w:rFonts w:ascii="FrankRuehl" w:hAnsi="FrankRuehl" w:cs="FrankRuehl"/>
          <w:noProof w:val="0"/>
          <w:sz w:val="28"/>
          <w:szCs w:val="28"/>
          <w:rtl/>
        </w:rPr>
        <w:tab/>
      </w:r>
      <w:r w:rsidRPr="00177BA9">
        <w:rPr>
          <w:rFonts w:ascii="FrankRuehl" w:hAnsi="FrankRuehl" w:cs="FrankRuehl"/>
          <w:noProof w:val="0"/>
          <w:sz w:val="28"/>
          <w:szCs w:val="28"/>
          <w:rtl/>
        </w:rPr>
        <w:tab/>
      </w:r>
      <w:r w:rsidR="00633C4F" w:rsidRPr="00177BA9">
        <w:rPr>
          <w:rFonts w:ascii="FrankRuehl" w:hAnsi="FrankRuehl" w:cs="FrankRuehl"/>
          <w:noProof w:val="0"/>
          <w:sz w:val="28"/>
          <w:szCs w:val="28"/>
          <w:rtl/>
        </w:rPr>
        <w:t xml:space="preserve"> </w:t>
      </w:r>
    </w:p>
    <w:p w:rsidR="00694556" w:rsidRPr="00177BA9" w:rsidRDefault="00BB2CCB" w:rsidP="00A53573">
      <w:pPr>
        <w:spacing w:line="360" w:lineRule="auto"/>
        <w:ind w:left="3600" w:firstLine="720"/>
      </w:pPr>
      <w:sdt>
        <w:sdtPr>
          <w:rPr>
            <w:rtl/>
          </w:rPr>
          <w:alias w:val="MergeField"/>
          <w:tag w:val="1237"/>
          <w:id w:val="-1850781036"/>
        </w:sdtPr>
        <w:sdtEndPr/>
        <w:sdtContent>
          <w:r w:rsidR="007146F8">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47825" cy="904875"/>
                        </a:xfrm>
                        <a:prstGeom prst="rect">
                          <a:avLst/>
                        </a:prstGeom>
                      </pic:spPr>
                    </pic:pic>
                  </a:graphicData>
                </a:graphic>
              </wp:inline>
            </w:drawing>
          </w:r>
        </w:sdtContent>
      </w:sdt>
    </w:p>
    <w:p w:rsidR="00694556" w:rsidRPr="00177BA9" w:rsidRDefault="00694556" w:rsidP="00A53573">
      <w:pPr>
        <w:spacing w:line="360" w:lineRule="auto"/>
        <w:ind w:left="3600" w:firstLine="720"/>
        <w:rPr>
          <w:rFonts w:ascii="FrankRuehl" w:hAnsi="FrankRuehl" w:cs="FrankRuehl"/>
          <w:noProof w:val="0"/>
          <w:sz w:val="28"/>
          <w:szCs w:val="28"/>
          <w:rtl/>
        </w:rPr>
      </w:pPr>
    </w:p>
    <w:sectPr w:rsidR="00694556" w:rsidRPr="00177BA9" w:rsidSect="00633A53">
      <w:headerReference w:type="default" r:id="rId9"/>
      <w:footerReference w:type="default" r:id="rId10"/>
      <w:pgSz w:w="11907" w:h="16840" w:code="9"/>
      <w:pgMar w:top="720" w:right="1701" w:bottom="851"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6F8" w:rsidRDefault="007146F8">
      <w:r>
        <w:separator/>
      </w:r>
    </w:p>
  </w:endnote>
  <w:endnote w:type="continuationSeparator" w:id="0">
    <w:p w:rsidR="007146F8" w:rsidRDefault="0071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B2CC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B2CC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6F8" w:rsidRDefault="007146F8">
      <w:r>
        <w:separator/>
      </w:r>
    </w:p>
  </w:footnote>
  <w:footnote w:type="continuationSeparator" w:id="0">
    <w:p w:rsidR="007146F8" w:rsidRDefault="0071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BB2CCB">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B97E34">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B97E34">
      <w:trPr>
        <w:trHeight w:val="337"/>
        <w:jc w:val="center"/>
      </w:trPr>
      <w:tc>
        <w:tcPr>
          <w:tcW w:w="8505" w:type="dxa"/>
        </w:tcPr>
        <w:p w:rsidR="00B97E34" w:rsidRPr="00B97E34" w:rsidRDefault="00BB2CCB" w:rsidP="00B97E34">
          <w:pPr>
            <w:rPr>
              <w:rFonts w:ascii="FrankRuehl" w:hAnsi="FrankRuehl" w:cs="FrankRuehl"/>
              <w:b/>
              <w:bCs/>
              <w:noProof w:val="0"/>
              <w:sz w:val="28"/>
              <w:szCs w:val="28"/>
            </w:rPr>
          </w:pPr>
          <w:sdt>
            <w:sdtPr>
              <w:rPr>
                <w:rFonts w:ascii="FrankRuehl" w:hAnsi="FrankRuehl" w:cs="FrankRuehl"/>
                <w:b/>
                <w:bCs/>
                <w:sz w:val="28"/>
                <w:szCs w:val="28"/>
                <w:rtl/>
              </w:rPr>
              <w:alias w:val="849"/>
              <w:tag w:val="849"/>
              <w:id w:val="-1617746001"/>
              <w:text w:multiLine="1"/>
            </w:sdtPr>
            <w:sdtEndPr/>
            <w:sdtContent>
              <w:r w:rsidR="00B97E34" w:rsidRPr="00B97E34">
                <w:rPr>
                  <w:rFonts w:ascii="FrankRuehl" w:hAnsi="FrankRuehl" w:cs="FrankRuehl"/>
                  <w:b/>
                  <w:bCs/>
                  <w:sz w:val="28"/>
                  <w:szCs w:val="28"/>
                  <w:rtl/>
                </w:rPr>
                <w:t>תלה"מ</w:t>
              </w:r>
            </w:sdtContent>
          </w:sdt>
          <w:r w:rsidR="00B97E34" w:rsidRPr="00B97E34">
            <w:rPr>
              <w:rFonts w:ascii="FrankRuehl" w:hAnsi="FrankRuehl" w:cs="FrankRuehl"/>
              <w:b/>
              <w:bCs/>
              <w:sz w:val="28"/>
              <w:szCs w:val="28"/>
              <w:rtl/>
            </w:rPr>
            <w:t xml:space="preserve"> </w:t>
          </w:r>
          <w:sdt>
            <w:sdtPr>
              <w:rPr>
                <w:rFonts w:ascii="FrankRuehl" w:hAnsi="FrankRuehl" w:cs="FrankRuehl"/>
                <w:b/>
                <w:bCs/>
                <w:sz w:val="28"/>
                <w:szCs w:val="28"/>
                <w:rtl/>
              </w:rPr>
              <w:alias w:val="158"/>
              <w:tag w:val="158"/>
              <w:id w:val="-1470517263"/>
              <w:text w:multiLine="1"/>
            </w:sdtPr>
            <w:sdtEndPr/>
            <w:sdtContent>
              <w:r w:rsidR="00B97E34" w:rsidRPr="00B97E34">
                <w:rPr>
                  <w:rFonts w:ascii="FrankRuehl" w:hAnsi="FrankRuehl" w:cs="FrankRuehl"/>
                  <w:b/>
                  <w:bCs/>
                  <w:sz w:val="28"/>
                  <w:szCs w:val="28"/>
                  <w:rtl/>
                </w:rPr>
                <w:t>60514-05-18</w:t>
              </w:r>
            </w:sdtContent>
          </w:sdt>
          <w:r w:rsidR="00B97E34" w:rsidRPr="00B97E34">
            <w:rPr>
              <w:rFonts w:ascii="FrankRuehl" w:hAnsi="FrankRuehl" w:cs="FrankRuehl"/>
              <w:b/>
              <w:bCs/>
              <w:sz w:val="28"/>
              <w:szCs w:val="28"/>
              <w:rtl/>
            </w:rPr>
            <w:t xml:space="preserve"> (מזונות ילדים)</w:t>
          </w:r>
        </w:p>
        <w:p w:rsidR="00B97E34" w:rsidRPr="00B97E34" w:rsidRDefault="00BB2CCB" w:rsidP="00B97E34">
          <w:pPr>
            <w:rPr>
              <w:rFonts w:ascii="FrankRuehl" w:hAnsi="FrankRuehl" w:cs="FrankRuehl"/>
              <w:b/>
              <w:bCs/>
              <w:sz w:val="28"/>
              <w:szCs w:val="28"/>
            </w:rPr>
          </w:pPr>
          <w:sdt>
            <w:sdtPr>
              <w:rPr>
                <w:rFonts w:ascii="FrankRuehl" w:hAnsi="FrankRuehl" w:cs="FrankRuehl"/>
                <w:b/>
                <w:bCs/>
                <w:sz w:val="28"/>
                <w:szCs w:val="28"/>
                <w:rtl/>
              </w:rPr>
              <w:alias w:val="849"/>
              <w:tag w:val="849"/>
              <w:id w:val="-549149591"/>
              <w:text w:multiLine="1"/>
            </w:sdtPr>
            <w:sdtEndPr/>
            <w:sdtContent>
              <w:r w:rsidR="00B97E34" w:rsidRPr="00B97E34">
                <w:rPr>
                  <w:rFonts w:ascii="FrankRuehl" w:hAnsi="FrankRuehl" w:cs="FrankRuehl"/>
                  <w:b/>
                  <w:bCs/>
                  <w:sz w:val="28"/>
                  <w:szCs w:val="28"/>
                  <w:rtl/>
                </w:rPr>
                <w:t>תלה"מ</w:t>
              </w:r>
            </w:sdtContent>
          </w:sdt>
          <w:r w:rsidR="00B97E34" w:rsidRPr="00B97E34">
            <w:rPr>
              <w:rFonts w:ascii="FrankRuehl" w:hAnsi="FrankRuehl" w:cs="FrankRuehl"/>
              <w:b/>
              <w:bCs/>
              <w:sz w:val="28"/>
              <w:szCs w:val="28"/>
              <w:rtl/>
            </w:rPr>
            <w:t xml:space="preserve"> </w:t>
          </w:r>
          <w:sdt>
            <w:sdtPr>
              <w:rPr>
                <w:rFonts w:ascii="FrankRuehl" w:hAnsi="FrankRuehl" w:cs="FrankRuehl"/>
                <w:b/>
                <w:bCs/>
                <w:sz w:val="28"/>
                <w:szCs w:val="28"/>
                <w:rtl/>
              </w:rPr>
              <w:alias w:val="158"/>
              <w:tag w:val="158"/>
              <w:id w:val="-1150513937"/>
              <w:text w:multiLine="1"/>
            </w:sdtPr>
            <w:sdtEndPr/>
            <w:sdtContent>
              <w:r w:rsidR="00B97E34" w:rsidRPr="00B97E34">
                <w:rPr>
                  <w:rFonts w:ascii="FrankRuehl" w:hAnsi="FrankRuehl" w:cs="FrankRuehl"/>
                  <w:b/>
                  <w:bCs/>
                  <w:sz w:val="28"/>
                  <w:szCs w:val="28"/>
                  <w:rtl/>
                </w:rPr>
                <w:t>60576-05-18</w:t>
              </w:r>
            </w:sdtContent>
          </w:sdt>
          <w:r w:rsidR="00B97E34" w:rsidRPr="00B97E34">
            <w:rPr>
              <w:rFonts w:ascii="FrankRuehl" w:hAnsi="FrankRuehl" w:cs="FrankRuehl"/>
              <w:b/>
              <w:bCs/>
              <w:sz w:val="28"/>
              <w:szCs w:val="28"/>
              <w:rtl/>
            </w:rPr>
            <w:t xml:space="preserve"> (מזונות אישה)</w:t>
          </w:r>
        </w:p>
        <w:p w:rsidR="00957C90" w:rsidRPr="00957C90" w:rsidRDefault="00BB2CCB" w:rsidP="00ED38C1">
          <w:pPr>
            <w:rPr>
              <w:b/>
              <w:bCs/>
              <w:noProof w:val="0"/>
              <w:sz w:val="26"/>
              <w:szCs w:val="26"/>
              <w:rtl/>
            </w:rPr>
          </w:pPr>
          <w:sdt>
            <w:sdtPr>
              <w:rPr>
                <w:rFonts w:ascii="FrankRuehl" w:hAnsi="FrankRuehl" w:cs="FrankRuehl"/>
                <w:b/>
                <w:bCs/>
                <w:sz w:val="28"/>
                <w:szCs w:val="28"/>
                <w:rtl/>
              </w:rPr>
              <w:alias w:val="3155"/>
              <w:tag w:val="3155"/>
              <w:id w:val="259339924"/>
              <w:placeholder>
                <w:docPart w:val="CFDB56C61F8E4F4FA0A8912B403B5BC0"/>
              </w:placeholder>
              <w:text w:multiLine="1"/>
            </w:sdtPr>
            <w:sdtEndPr/>
            <w:sdtContent>
              <w:r w:rsidR="00ED38C1">
                <w:rPr>
                  <w:rFonts w:ascii="FrankRuehl" w:hAnsi="FrankRuehl" w:cs="FrankRuehl" w:hint="cs"/>
                  <w:b/>
                  <w:bCs/>
                  <w:sz w:val="28"/>
                  <w:szCs w:val="28"/>
                  <w:rtl/>
                </w:rPr>
                <w:t>ח'</w:t>
              </w:r>
              <w:r w:rsidR="00B97E34" w:rsidRPr="00B97E34">
                <w:rPr>
                  <w:rFonts w:ascii="FrankRuehl" w:hAnsi="FrankRuehl" w:cs="FrankRuehl"/>
                  <w:b/>
                  <w:bCs/>
                  <w:sz w:val="28"/>
                  <w:szCs w:val="28"/>
                  <w:rtl/>
                </w:rPr>
                <w:t xml:space="preserve"> נ' </w:t>
              </w:r>
              <w:r w:rsidR="00ED38C1">
                <w:rPr>
                  <w:rFonts w:ascii="FrankRuehl" w:hAnsi="FrankRuehl" w:cs="FrankRuehl" w:hint="cs"/>
                  <w:b/>
                  <w:bCs/>
                  <w:sz w:val="28"/>
                  <w:szCs w:val="28"/>
                  <w:rtl/>
                </w:rPr>
                <w:t>ח'</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F5603E"/>
    <w:multiLevelType w:val="hybridMultilevel"/>
    <w:tmpl w:val="E8BE60BA"/>
    <w:lvl w:ilvl="0" w:tplc="0409000F">
      <w:start w:val="1"/>
      <w:numFmt w:val="decimal"/>
      <w:lvlText w:val="%1."/>
      <w:lvlJc w:val="left"/>
      <w:pPr>
        <w:ind w:left="720" w:hanging="360"/>
      </w:pPr>
      <w:rPr>
        <w:rFonts w:cs="Times New Roman"/>
      </w:rPr>
    </w:lvl>
    <w:lvl w:ilvl="1" w:tplc="36884D80">
      <w:start w:val="1"/>
      <w:numFmt w:val="decimal"/>
      <w:lvlText w:val="%2."/>
      <w:lvlJc w:val="left"/>
      <w:pPr>
        <w:ind w:left="1440" w:hanging="360"/>
      </w:pPr>
      <w:rPr>
        <w:rFonts w:ascii="David" w:eastAsia="Times New Roman" w:hAnsi="David" w:cs="David"/>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506112"/>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506112&amp;lt;/CaseID&amp;gt;_x000d__x000a_        &amp;lt;DocumentID&amp;gt;421698133&amp;lt;/DocumentID&amp;gt;_x000d__x000a_      &amp;lt;/dt_DocumentCase&amp;gt;_x000d__x000a_      &amp;lt;dt_Document diffgr:id=&amp;quot;dt_Document1&amp;quot; msdata:rowOrder=&amp;quot;0&amp;quot;&amp;gt;_x000d__x000a_        &amp;lt;DocumentID&amp;gt;421698133&amp;lt;/DocumentID&amp;gt;_x000d__x000a_        &amp;lt;DocumentMainID&amp;gt;0&amp;lt;/DocumentMainID&amp;gt;_x000d__x000a_        &amp;lt;CaseID&amp;gt;75506112&amp;lt;/CaseID&amp;gt;_x000d__x000a_        &amp;lt;DocumentIncludedDate&amp;gt;2023-09-14T14:00:38.89+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14T14:00:38.89+03:00&amp;lt;/DocumentSavingDate&amp;gt;_x000d__x000a_        &amp;lt;DocumentChangeDate&amp;gt;2023-09-14T14:00:39+03:00&amp;lt;/DocumentChangeDate&amp;gt;_x000d__x000a_        &amp;lt;IsScanned&amp;gt;false&amp;lt;/IsScanned&amp;gt;_x000d__x000a_        &amp;lt;PageQuantity&amp;gt;0&amp;lt;/PageQuantity&amp;gt;_x000d__x000a_        &amp;lt;DocumentStatusID&amp;gt;2&amp;lt;/DocumentStatusID&amp;gt;_x000d__x000a_        &amp;lt;DocumentStatusChangeDate&amp;gt;2023-09-14T14:00:39+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09214532&amp;lt;/OriginalDocumentID&amp;gt;_x000d__x000a_        &amp;lt;PrivillegeID&amp;gt;2&amp;lt;/PrivillegeID&amp;gt;_x000d__x000a_        &amp;lt;FromPage&amp;gt;0&amp;lt;/FromPage&amp;gt;_x000d__x000a_        &amp;lt;ToPage&amp;gt;0&amp;lt;/ToPage&amp;gt;_x000d__x000a_        &amp;lt;FileID&amp;gt;739f59938a010000090037f6a7bd9a3a&amp;lt;/FileID&amp;gt;_x000d__x000a_        &amp;lt;URL&amp;gt;\\CTLNFSV02\doc_repository\333\908\8ebbf8a06bdf44d998eabb46a5a88ca6_copy.docx&amp;lt;/URL&amp;gt;_x000d__x000a_        &amp;lt;OlivePriority&amp;gt;1&amp;lt;/OlivePriority&amp;gt;_x000d__x000a_        &amp;lt;MetaDataTypeID&amp;gt;1&amp;lt;/MetaDataTypeID&amp;gt;_x000d__x000a_        &amp;lt;MetaDataChangeDate&amp;gt;2023-09-14T14:00:39+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6-07T14:33:54.7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07T14:33:54.72+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12D4"/>
    <w:rsid w:val="00013E8B"/>
    <w:rsid w:val="00014432"/>
    <w:rsid w:val="000146C2"/>
    <w:rsid w:val="00016C35"/>
    <w:rsid w:val="00023B59"/>
    <w:rsid w:val="000258FD"/>
    <w:rsid w:val="00043F3D"/>
    <w:rsid w:val="000564AB"/>
    <w:rsid w:val="000830C0"/>
    <w:rsid w:val="000D0D8F"/>
    <w:rsid w:val="000D15BC"/>
    <w:rsid w:val="000D4A02"/>
    <w:rsid w:val="000F2E8C"/>
    <w:rsid w:val="001072A9"/>
    <w:rsid w:val="00121F97"/>
    <w:rsid w:val="001277D7"/>
    <w:rsid w:val="00132017"/>
    <w:rsid w:val="00133E02"/>
    <w:rsid w:val="0014234E"/>
    <w:rsid w:val="00145A87"/>
    <w:rsid w:val="00153271"/>
    <w:rsid w:val="00166726"/>
    <w:rsid w:val="00177BA9"/>
    <w:rsid w:val="0018705D"/>
    <w:rsid w:val="001C4003"/>
    <w:rsid w:val="001E268F"/>
    <w:rsid w:val="001F3428"/>
    <w:rsid w:val="001F5474"/>
    <w:rsid w:val="00201117"/>
    <w:rsid w:val="00222CF2"/>
    <w:rsid w:val="002352F7"/>
    <w:rsid w:val="00247B21"/>
    <w:rsid w:val="00250D45"/>
    <w:rsid w:val="002561A1"/>
    <w:rsid w:val="0025656F"/>
    <w:rsid w:val="0027277D"/>
    <w:rsid w:val="00295A1D"/>
    <w:rsid w:val="002A7C7F"/>
    <w:rsid w:val="002B3847"/>
    <w:rsid w:val="002C05A9"/>
    <w:rsid w:val="002C5AAC"/>
    <w:rsid w:val="00305332"/>
    <w:rsid w:val="003227BD"/>
    <w:rsid w:val="00327FA9"/>
    <w:rsid w:val="003322E3"/>
    <w:rsid w:val="00333125"/>
    <w:rsid w:val="0033429C"/>
    <w:rsid w:val="00335118"/>
    <w:rsid w:val="003402C6"/>
    <w:rsid w:val="00340E58"/>
    <w:rsid w:val="00361999"/>
    <w:rsid w:val="003638F3"/>
    <w:rsid w:val="00381D3A"/>
    <w:rsid w:val="003823DA"/>
    <w:rsid w:val="00385F2C"/>
    <w:rsid w:val="003A7D75"/>
    <w:rsid w:val="003B40E7"/>
    <w:rsid w:val="0043595F"/>
    <w:rsid w:val="004621F7"/>
    <w:rsid w:val="0047645A"/>
    <w:rsid w:val="00483E9F"/>
    <w:rsid w:val="004A3B49"/>
    <w:rsid w:val="004A7CE0"/>
    <w:rsid w:val="004B1FCD"/>
    <w:rsid w:val="004D49A3"/>
    <w:rsid w:val="004D50AC"/>
    <w:rsid w:val="004E4EA3"/>
    <w:rsid w:val="004E6E3C"/>
    <w:rsid w:val="005124F1"/>
    <w:rsid w:val="00512DB6"/>
    <w:rsid w:val="00530BAD"/>
    <w:rsid w:val="00541598"/>
    <w:rsid w:val="005453BD"/>
    <w:rsid w:val="00547DB7"/>
    <w:rsid w:val="00567324"/>
    <w:rsid w:val="00593C96"/>
    <w:rsid w:val="005A144B"/>
    <w:rsid w:val="005A7B6B"/>
    <w:rsid w:val="005B0F49"/>
    <w:rsid w:val="005C4F51"/>
    <w:rsid w:val="005C7EC6"/>
    <w:rsid w:val="005D4BDB"/>
    <w:rsid w:val="00622BAA"/>
    <w:rsid w:val="00622D2C"/>
    <w:rsid w:val="00625C89"/>
    <w:rsid w:val="00627C7A"/>
    <w:rsid w:val="00632B79"/>
    <w:rsid w:val="00633A53"/>
    <w:rsid w:val="00633C4F"/>
    <w:rsid w:val="006371BA"/>
    <w:rsid w:val="006519AB"/>
    <w:rsid w:val="00651C8F"/>
    <w:rsid w:val="00671BD5"/>
    <w:rsid w:val="006805C1"/>
    <w:rsid w:val="006816EC"/>
    <w:rsid w:val="00694556"/>
    <w:rsid w:val="00694A5E"/>
    <w:rsid w:val="006E1A53"/>
    <w:rsid w:val="006F0CAA"/>
    <w:rsid w:val="007056AA"/>
    <w:rsid w:val="007146F8"/>
    <w:rsid w:val="007402F4"/>
    <w:rsid w:val="00744F41"/>
    <w:rsid w:val="00760962"/>
    <w:rsid w:val="007A24FE"/>
    <w:rsid w:val="007A2BAC"/>
    <w:rsid w:val="007A35AA"/>
    <w:rsid w:val="007C0EF0"/>
    <w:rsid w:val="007C1367"/>
    <w:rsid w:val="007C7CA2"/>
    <w:rsid w:val="007D06F3"/>
    <w:rsid w:val="007F1048"/>
    <w:rsid w:val="00820005"/>
    <w:rsid w:val="00846D27"/>
    <w:rsid w:val="00860F40"/>
    <w:rsid w:val="008610A7"/>
    <w:rsid w:val="00875147"/>
    <w:rsid w:val="008C53F6"/>
    <w:rsid w:val="008D158A"/>
    <w:rsid w:val="008D3310"/>
    <w:rsid w:val="008E1332"/>
    <w:rsid w:val="00903896"/>
    <w:rsid w:val="009277CC"/>
    <w:rsid w:val="00927813"/>
    <w:rsid w:val="00932540"/>
    <w:rsid w:val="00944D13"/>
    <w:rsid w:val="00957C90"/>
    <w:rsid w:val="009B70F6"/>
    <w:rsid w:val="009C358E"/>
    <w:rsid w:val="009E0263"/>
    <w:rsid w:val="009F0996"/>
    <w:rsid w:val="00A02BA8"/>
    <w:rsid w:val="00A267CF"/>
    <w:rsid w:val="00A43458"/>
    <w:rsid w:val="00A53573"/>
    <w:rsid w:val="00A65BF0"/>
    <w:rsid w:val="00A86ABE"/>
    <w:rsid w:val="00AB3F2E"/>
    <w:rsid w:val="00AC49B7"/>
    <w:rsid w:val="00AC4E19"/>
    <w:rsid w:val="00AE36AD"/>
    <w:rsid w:val="00AF1ED6"/>
    <w:rsid w:val="00B0261E"/>
    <w:rsid w:val="00B1262C"/>
    <w:rsid w:val="00B169A8"/>
    <w:rsid w:val="00B32C61"/>
    <w:rsid w:val="00B368FE"/>
    <w:rsid w:val="00B401F4"/>
    <w:rsid w:val="00B564A3"/>
    <w:rsid w:val="00B80CBD"/>
    <w:rsid w:val="00B837C6"/>
    <w:rsid w:val="00B97E34"/>
    <w:rsid w:val="00BA6E5B"/>
    <w:rsid w:val="00BB2CCB"/>
    <w:rsid w:val="00BC3369"/>
    <w:rsid w:val="00BF77EE"/>
    <w:rsid w:val="00C06732"/>
    <w:rsid w:val="00C3185F"/>
    <w:rsid w:val="00C32E0F"/>
    <w:rsid w:val="00C348CC"/>
    <w:rsid w:val="00C42BF9"/>
    <w:rsid w:val="00C56454"/>
    <w:rsid w:val="00C6417C"/>
    <w:rsid w:val="00C67FF8"/>
    <w:rsid w:val="00C77D1D"/>
    <w:rsid w:val="00C83E56"/>
    <w:rsid w:val="00C85642"/>
    <w:rsid w:val="00C960F1"/>
    <w:rsid w:val="00CA116C"/>
    <w:rsid w:val="00CC63CE"/>
    <w:rsid w:val="00D05601"/>
    <w:rsid w:val="00D24878"/>
    <w:rsid w:val="00D319B3"/>
    <w:rsid w:val="00D36A71"/>
    <w:rsid w:val="00D53924"/>
    <w:rsid w:val="00D60849"/>
    <w:rsid w:val="00D63091"/>
    <w:rsid w:val="00D859D1"/>
    <w:rsid w:val="00D96D8C"/>
    <w:rsid w:val="00DA755B"/>
    <w:rsid w:val="00DB36A3"/>
    <w:rsid w:val="00DB4E63"/>
    <w:rsid w:val="00DD337E"/>
    <w:rsid w:val="00DF1D7B"/>
    <w:rsid w:val="00DF44CA"/>
    <w:rsid w:val="00DF5E91"/>
    <w:rsid w:val="00E00B6F"/>
    <w:rsid w:val="00E134AC"/>
    <w:rsid w:val="00E1496E"/>
    <w:rsid w:val="00E16C9D"/>
    <w:rsid w:val="00E1717A"/>
    <w:rsid w:val="00E44DDF"/>
    <w:rsid w:val="00E52DC5"/>
    <w:rsid w:val="00E54642"/>
    <w:rsid w:val="00E94676"/>
    <w:rsid w:val="00E97908"/>
    <w:rsid w:val="00EA7545"/>
    <w:rsid w:val="00ED18DA"/>
    <w:rsid w:val="00ED24A0"/>
    <w:rsid w:val="00ED38C1"/>
    <w:rsid w:val="00ED4F89"/>
    <w:rsid w:val="00EF3ED0"/>
    <w:rsid w:val="00F17E56"/>
    <w:rsid w:val="00F46EEB"/>
    <w:rsid w:val="00F50D11"/>
    <w:rsid w:val="00F62212"/>
    <w:rsid w:val="00F644F8"/>
    <w:rsid w:val="00F82B87"/>
    <w:rsid w:val="00F904CE"/>
    <w:rsid w:val="00FA3E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E268F"/>
    <w:pPr>
      <w:ind w:left="720"/>
      <w:contextualSpacing/>
    </w:pPr>
  </w:style>
  <w:style w:type="character" w:customStyle="1" w:styleId="term2">
    <w:name w:val="term_2"/>
    <w:basedOn w:val="a0"/>
    <w:rsid w:val="00B837C6"/>
  </w:style>
  <w:style w:type="paragraph" w:customStyle="1" w:styleId="10">
    <w:name w:val="פיסקת רשימה1"/>
    <w:basedOn w:val="a"/>
    <w:qFormat/>
    <w:rsid w:val="005A144B"/>
    <w:pPr>
      <w:spacing w:after="160" w:line="254" w:lineRule="auto"/>
      <w:ind w:left="720"/>
      <w:contextualSpacing/>
    </w:pPr>
    <w:rPr>
      <w:rFonts w:ascii="Calibri" w:hAnsi="Calibri" w:cs="Arial"/>
      <w:noProof w:val="0"/>
      <w:sz w:val="22"/>
      <w:szCs w:val="22"/>
    </w:rPr>
  </w:style>
  <w:style w:type="character" w:styleId="Hyperlink">
    <w:name w:val="Hyperlink"/>
    <w:basedOn w:val="a0"/>
    <w:uiPriority w:val="99"/>
    <w:semiHidden/>
    <w:unhideWhenUsed/>
    <w:rsid w:val="005A14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2087">
      <w:bodyDiv w:val="1"/>
      <w:marLeft w:val="0"/>
      <w:marRight w:val="0"/>
      <w:marTop w:val="0"/>
      <w:marBottom w:val="0"/>
      <w:divBdr>
        <w:top w:val="none" w:sz="0" w:space="0" w:color="auto"/>
        <w:left w:val="none" w:sz="0" w:space="0" w:color="auto"/>
        <w:bottom w:val="none" w:sz="0" w:space="0" w:color="auto"/>
        <w:right w:val="none" w:sz="0" w:space="0" w:color="auto"/>
      </w:divBdr>
    </w:div>
    <w:div w:id="230501320">
      <w:bodyDiv w:val="1"/>
      <w:marLeft w:val="0"/>
      <w:marRight w:val="0"/>
      <w:marTop w:val="0"/>
      <w:marBottom w:val="0"/>
      <w:divBdr>
        <w:top w:val="none" w:sz="0" w:space="0" w:color="auto"/>
        <w:left w:val="none" w:sz="0" w:space="0" w:color="auto"/>
        <w:bottom w:val="none" w:sz="0" w:space="0" w:color="auto"/>
        <w:right w:val="none" w:sz="0" w:space="0" w:color="auto"/>
      </w:divBdr>
    </w:div>
    <w:div w:id="698818187">
      <w:bodyDiv w:val="1"/>
      <w:marLeft w:val="0"/>
      <w:marRight w:val="0"/>
      <w:marTop w:val="0"/>
      <w:marBottom w:val="0"/>
      <w:divBdr>
        <w:top w:val="none" w:sz="0" w:space="0" w:color="auto"/>
        <w:left w:val="none" w:sz="0" w:space="0" w:color="auto"/>
        <w:bottom w:val="none" w:sz="0" w:space="0" w:color="auto"/>
        <w:right w:val="none" w:sz="0" w:space="0" w:color="auto"/>
      </w:divBdr>
    </w:div>
    <w:div w:id="783839880">
      <w:bodyDiv w:val="1"/>
      <w:marLeft w:val="0"/>
      <w:marRight w:val="0"/>
      <w:marTop w:val="0"/>
      <w:marBottom w:val="0"/>
      <w:divBdr>
        <w:top w:val="none" w:sz="0" w:space="0" w:color="auto"/>
        <w:left w:val="none" w:sz="0" w:space="0" w:color="auto"/>
        <w:bottom w:val="none" w:sz="0" w:space="0" w:color="auto"/>
        <w:right w:val="none" w:sz="0" w:space="0" w:color="auto"/>
      </w:divBdr>
    </w:div>
    <w:div w:id="120972950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764846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3783751">
      <w:bodyDiv w:val="1"/>
      <w:marLeft w:val="0"/>
      <w:marRight w:val="0"/>
      <w:marTop w:val="0"/>
      <w:marBottom w:val="0"/>
      <w:divBdr>
        <w:top w:val="none" w:sz="0" w:space="0" w:color="auto"/>
        <w:left w:val="none" w:sz="0" w:space="0" w:color="auto"/>
        <w:bottom w:val="none" w:sz="0" w:space="0" w:color="auto"/>
        <w:right w:val="none" w:sz="0" w:space="0" w:color="auto"/>
      </w:divBdr>
    </w:div>
    <w:div w:id="165205279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740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CFDB56C61F8E4F4FA0A8912B403B5BC0"/>
        <w:category>
          <w:name w:val="כללי"/>
          <w:gallery w:val="placeholder"/>
        </w:category>
        <w:types>
          <w:type w:val="bbPlcHdr"/>
        </w:types>
        <w:behaviors>
          <w:behavior w:val="content"/>
        </w:behaviors>
        <w:guid w:val="{5CC629DA-7D68-43BB-84B3-69C241254D2D}"/>
      </w:docPartPr>
      <w:docPartBody>
        <w:p w:rsidR="006164A8" w:rsidRDefault="00E03F4B" w:rsidP="00E03F4B">
          <w:pPr>
            <w:pStyle w:val="CFDB56C61F8E4F4FA0A8912B403B5BC0"/>
          </w:pPr>
          <w:r>
            <w:rPr>
              <w:b/>
              <w:bCs/>
              <w:sz w:val="26"/>
              <w:szCs w:val="26"/>
              <w:highlight w:val="yellow"/>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164A8"/>
    <w:rsid w:val="00656166"/>
    <w:rsid w:val="00B40AEB"/>
    <w:rsid w:val="00B65812"/>
    <w:rsid w:val="00CC5512"/>
    <w:rsid w:val="00E03F4B"/>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CFDB56C61F8E4F4FA0A8912B403B5BC0">
    <w:name w:val="CFDB56C61F8E4F4FA0A8912B403B5BC0"/>
    <w:rsid w:val="00E03F4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3758</Words>
  <Characters>17592</Characters>
  <Application>Microsoft Office Word</Application>
  <DocSecurity>4</DocSecurity>
  <Lines>390</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2023-10-22T10:54:00Z</dcterms:created>
  <dcterms:modified xsi:type="dcterms:W3CDTF">2023-10-22T10:54:00Z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d3f51d501ba2d9e5ed03778f5f5397c1a8294b4af93105189951ea83c6bd656f</vt:lpwstr>
  </property>
</Properties>
</file>